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52C5" w:rsidRDefault="00B852C5">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44604/25/7100-20110</w:t>
      </w:r>
    </w:p>
    <w:p w:rsidR="00B852C5" w:rsidRDefault="00B852C5">
      <w:pPr>
        <w:widowControl w:val="0"/>
        <w:autoSpaceDE w:val="0"/>
        <w:autoSpaceDN w:val="0"/>
        <w:adjustRightInd w:val="0"/>
        <w:spacing w:after="0" w:line="240" w:lineRule="auto"/>
        <w:jc w:val="center"/>
        <w:rPr>
          <w:rFonts w:ascii="Arial" w:hAnsi="Arial" w:cs="Arial"/>
          <w:kern w:val="0"/>
          <w:sz w:val="21"/>
          <w:szCs w:val="21"/>
        </w:rPr>
      </w:pPr>
    </w:p>
    <w:p w:rsidR="00B852C5" w:rsidRDefault="00B852C5">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Sdělení</w:t>
      </w:r>
    </w:p>
    <w:p w:rsidR="00B852C5" w:rsidRDefault="00B852C5">
      <w:pPr>
        <w:widowControl w:val="0"/>
        <w:autoSpaceDE w:val="0"/>
        <w:autoSpaceDN w:val="0"/>
        <w:adjustRightInd w:val="0"/>
        <w:spacing w:after="0" w:line="240" w:lineRule="auto"/>
        <w:jc w:val="center"/>
        <w:rPr>
          <w:rFonts w:ascii="Arial" w:hAnsi="Arial" w:cs="Arial"/>
          <w:kern w:val="0"/>
          <w:sz w:val="21"/>
          <w:szCs w:val="21"/>
        </w:rPr>
      </w:pPr>
    </w:p>
    <w:p w:rsidR="00B852C5" w:rsidRDefault="00B852C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 novému způsobu daňového odpisování zařízení sloužících k výrobě elektřiny ze slunečního záření v návaznosti na zrušení </w:t>
      </w:r>
      <w:hyperlink r:id="rId4" w:history="1">
        <w:r>
          <w:rPr>
            <w:rFonts w:ascii="Arial" w:hAnsi="Arial" w:cs="Arial"/>
            <w:b/>
            <w:bCs/>
            <w:color w:val="0000FF"/>
            <w:kern w:val="0"/>
            <w:sz w:val="16"/>
            <w:szCs w:val="16"/>
            <w:u w:val="single"/>
          </w:rPr>
          <w:t>§ 30b ZDP</w:t>
        </w:r>
      </w:hyperlink>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rPr>
          <w:rFonts w:ascii="Arial" w:hAnsi="Arial" w:cs="Arial"/>
          <w:b/>
          <w:bCs/>
          <w:kern w:val="0"/>
          <w:sz w:val="16"/>
          <w:szCs w:val="16"/>
        </w:rPr>
      </w:pP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FINANČNÍ SPRÁVA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GENERÁLNÍ FINANČNÍ ŘEDITELSTVÍ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Lazarská 15/7, 117 22 Praha 1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Sekce metodiky daní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souvislosti se zrušením ustanovení </w:t>
      </w:r>
      <w:hyperlink r:id="rId5" w:history="1">
        <w:r>
          <w:rPr>
            <w:rFonts w:ascii="Arial" w:hAnsi="Arial" w:cs="Arial"/>
            <w:color w:val="0000FF"/>
            <w:kern w:val="0"/>
            <w:sz w:val="16"/>
            <w:szCs w:val="16"/>
            <w:u w:val="single"/>
          </w:rPr>
          <w:t>§ 30b zákona č. 586/1992 Sb.</w:t>
        </w:r>
      </w:hyperlink>
      <w:r>
        <w:rPr>
          <w:rFonts w:ascii="Arial" w:hAnsi="Arial" w:cs="Arial"/>
          <w:kern w:val="0"/>
          <w:sz w:val="16"/>
          <w:szCs w:val="16"/>
        </w:rPr>
        <w:t>, o daních z příjmů, ve znění pozdějších předpisů ("</w:t>
      </w:r>
      <w:hyperlink r:id="rId6" w:history="1">
        <w:r>
          <w:rPr>
            <w:rFonts w:ascii="Arial" w:hAnsi="Arial" w:cs="Arial"/>
            <w:color w:val="0000FF"/>
            <w:kern w:val="0"/>
            <w:sz w:val="16"/>
            <w:szCs w:val="16"/>
            <w:u w:val="single"/>
          </w:rPr>
          <w:t>ZDP</w:t>
        </w:r>
      </w:hyperlink>
      <w:r>
        <w:rPr>
          <w:rFonts w:ascii="Arial" w:hAnsi="Arial" w:cs="Arial"/>
          <w:kern w:val="0"/>
          <w:sz w:val="16"/>
          <w:szCs w:val="16"/>
        </w:rPr>
        <w:t xml:space="preserve">"), které upravovalo speciální režim daňového odpisování vybraného hmotného majetku využívaného k výrobě elektřiny ze slunečního záření, vydává Generální finanční ředitelství následující sdělení.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1 Popis situace </w:t>
      </w:r>
    </w:p>
    <w:p w:rsidR="00B852C5" w:rsidRDefault="00B852C5">
      <w:pPr>
        <w:widowControl w:val="0"/>
        <w:autoSpaceDE w:val="0"/>
        <w:autoSpaceDN w:val="0"/>
        <w:adjustRightInd w:val="0"/>
        <w:spacing w:after="0" w:line="240" w:lineRule="auto"/>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Zákonem č. </w:t>
      </w:r>
      <w:hyperlink r:id="rId7" w:history="1">
        <w:r>
          <w:rPr>
            <w:rFonts w:ascii="Arial" w:hAnsi="Arial" w:cs="Arial"/>
            <w:color w:val="0000FF"/>
            <w:kern w:val="0"/>
            <w:sz w:val="16"/>
            <w:szCs w:val="16"/>
            <w:u w:val="single"/>
          </w:rPr>
          <w:t>87/2025 Sb.</w:t>
        </w:r>
      </w:hyperlink>
      <w:r>
        <w:rPr>
          <w:rFonts w:ascii="Arial" w:hAnsi="Arial" w:cs="Arial"/>
          <w:kern w:val="0"/>
          <w:sz w:val="16"/>
          <w:szCs w:val="16"/>
        </w:rPr>
        <w:t xml:space="preserve">, kterým se mění zákon č. </w:t>
      </w:r>
      <w:hyperlink r:id="rId8" w:history="1">
        <w:r>
          <w:rPr>
            <w:rFonts w:ascii="Arial" w:hAnsi="Arial" w:cs="Arial"/>
            <w:color w:val="0000FF"/>
            <w:kern w:val="0"/>
            <w:sz w:val="16"/>
            <w:szCs w:val="16"/>
            <w:u w:val="single"/>
          </w:rPr>
          <w:t>458/2000 Sb.</w:t>
        </w:r>
      </w:hyperlink>
      <w:r>
        <w:rPr>
          <w:rFonts w:ascii="Arial" w:hAnsi="Arial" w:cs="Arial"/>
          <w:kern w:val="0"/>
          <w:sz w:val="16"/>
          <w:szCs w:val="16"/>
        </w:rPr>
        <w:t>, o podmínkách podnikání a o výkonu státní správy v energetických odvětvích a o změně některých zákonů ("</w:t>
      </w:r>
      <w:hyperlink r:id="rId9" w:history="1">
        <w:r>
          <w:rPr>
            <w:rFonts w:ascii="Arial" w:hAnsi="Arial" w:cs="Arial"/>
            <w:color w:val="0000FF"/>
            <w:kern w:val="0"/>
            <w:sz w:val="16"/>
            <w:szCs w:val="16"/>
            <w:u w:val="single"/>
          </w:rPr>
          <w:t>energetický zákon</w:t>
        </w:r>
      </w:hyperlink>
      <w:r>
        <w:rPr>
          <w:rFonts w:ascii="Arial" w:hAnsi="Arial" w:cs="Arial"/>
          <w:kern w:val="0"/>
          <w:sz w:val="16"/>
          <w:szCs w:val="16"/>
        </w:rPr>
        <w:t xml:space="preserve">"), ve znění pozdějších předpisů, a další související zákony ("novela"), dochází s účinností od 1. 8. 2025 ke zrušení ustanovení </w:t>
      </w:r>
      <w:hyperlink r:id="rId10" w:history="1">
        <w:r>
          <w:rPr>
            <w:rFonts w:ascii="Arial" w:hAnsi="Arial" w:cs="Arial"/>
            <w:color w:val="0000FF"/>
            <w:kern w:val="0"/>
            <w:sz w:val="16"/>
            <w:szCs w:val="16"/>
            <w:u w:val="single"/>
          </w:rPr>
          <w:t>§ 30b ZDP</w:t>
        </w:r>
      </w:hyperlink>
      <w:r>
        <w:rPr>
          <w:rFonts w:ascii="Arial" w:hAnsi="Arial" w:cs="Arial"/>
          <w:kern w:val="0"/>
          <w:sz w:val="16"/>
          <w:szCs w:val="16"/>
        </w:rPr>
        <w:t xml:space="preserve">. Toto speciální ustanovení upravuje způsob odpisování vybraného hmotného majetku využívaného k výrobě elektřiny ze slunečního záření.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Finanční správa ČR zastává níže uvedený právní názor k uplatnění jednotlivých ustanovení </w:t>
      </w:r>
      <w:hyperlink r:id="rId11" w:history="1">
        <w:r>
          <w:rPr>
            <w:rFonts w:ascii="Arial" w:hAnsi="Arial" w:cs="Arial"/>
            <w:color w:val="0000FF"/>
            <w:kern w:val="0"/>
            <w:sz w:val="16"/>
            <w:szCs w:val="16"/>
            <w:u w:val="single"/>
          </w:rPr>
          <w:t>ZDP</w:t>
        </w:r>
      </w:hyperlink>
      <w:r>
        <w:rPr>
          <w:rFonts w:ascii="Arial" w:hAnsi="Arial" w:cs="Arial"/>
          <w:kern w:val="0"/>
          <w:sz w:val="16"/>
          <w:szCs w:val="16"/>
        </w:rPr>
        <w:t xml:space="preserve"> pro účely daňového odpisování zařízení sloužícího k výrobě elektřiny ze slunečního záření ("FTVE") po zrušení </w:t>
      </w:r>
      <w:hyperlink r:id="rId12" w:history="1">
        <w:r>
          <w:rPr>
            <w:rFonts w:ascii="Arial" w:hAnsi="Arial" w:cs="Arial"/>
            <w:color w:val="0000FF"/>
            <w:kern w:val="0"/>
            <w:sz w:val="16"/>
            <w:szCs w:val="16"/>
            <w:u w:val="single"/>
          </w:rPr>
          <w:t>§ 30b ZDP</w:t>
        </w:r>
      </w:hyperlink>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2 Nový režim daňového odpisování FTVE dle </w:t>
      </w:r>
      <w:hyperlink r:id="rId13" w:history="1">
        <w:r>
          <w:rPr>
            <w:rFonts w:ascii="Arial" w:hAnsi="Arial" w:cs="Arial"/>
            <w:b/>
            <w:bCs/>
            <w:color w:val="0000FF"/>
            <w:kern w:val="0"/>
            <w:sz w:val="16"/>
            <w:szCs w:val="16"/>
            <w:u w:val="single"/>
          </w:rPr>
          <w:t>ZDP</w:t>
        </w:r>
      </w:hyperlink>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2.1 Obecný režim odpisování </w:t>
      </w:r>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 xml:space="preserve">                    </w:t>
      </w:r>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Stavební část stavby FTVE              Technologická část stavby FTVE</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(pevné konstrukce a s nimi související  </w:t>
      </w:r>
      <w:proofErr w:type="gramStart"/>
      <w:r>
        <w:rPr>
          <w:rFonts w:ascii="Courier CE" w:hAnsi="Courier CE" w:cs="Courier CE"/>
          <w:kern w:val="0"/>
          <w:sz w:val="16"/>
          <w:szCs w:val="16"/>
        </w:rPr>
        <w:t xml:space="preserve">   (</w:t>
      </w:r>
      <w:proofErr w:type="gramEnd"/>
      <w:r>
        <w:rPr>
          <w:rFonts w:ascii="Courier CE" w:hAnsi="Courier CE" w:cs="Courier CE"/>
          <w:kern w:val="0"/>
          <w:sz w:val="16"/>
          <w:szCs w:val="16"/>
        </w:rPr>
        <w:t xml:space="preserve">fotovoltaické panely, střídače,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stavební </w:t>
      </w:r>
      <w:proofErr w:type="gramStart"/>
      <w:r>
        <w:rPr>
          <w:rFonts w:ascii="Courier CE" w:hAnsi="Courier CE" w:cs="Courier CE"/>
          <w:kern w:val="0"/>
          <w:sz w:val="16"/>
          <w:szCs w:val="16"/>
        </w:rPr>
        <w:t xml:space="preserve">části)   </w:t>
      </w:r>
      <w:proofErr w:type="gramEnd"/>
      <w:r>
        <w:rPr>
          <w:rFonts w:ascii="Courier CE" w:hAnsi="Courier CE" w:cs="Courier CE"/>
          <w:kern w:val="0"/>
          <w:sz w:val="16"/>
          <w:szCs w:val="16"/>
        </w:rPr>
        <w:t xml:space="preserve">                           rozvaděče-)</w:t>
      </w:r>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Zatřídí se dle klasifikace CZ-CPA.      - Zatřídí </w:t>
      </w:r>
      <w:r>
        <w:rPr>
          <w:rFonts w:ascii="Courier" w:hAnsi="Courier" w:cs="Courier"/>
          <w:kern w:val="0"/>
          <w:sz w:val="16"/>
          <w:szCs w:val="16"/>
        </w:rPr>
        <w:t>se dle klasifikace CZ-CPA.</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Bude odpisována v příslušné odpisové    - Bude odpisována odděleně od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skupině buď jako samostatná </w:t>
      </w:r>
      <w:proofErr w:type="gramStart"/>
      <w:r>
        <w:rPr>
          <w:rFonts w:ascii="Courier CE" w:hAnsi="Courier CE" w:cs="Courier CE"/>
          <w:kern w:val="0"/>
          <w:sz w:val="16"/>
          <w:szCs w:val="16"/>
        </w:rPr>
        <w:t xml:space="preserve">stavba,   </w:t>
      </w:r>
      <w:proofErr w:type="gramEnd"/>
      <w:r>
        <w:rPr>
          <w:rFonts w:ascii="Courier CE" w:hAnsi="Courier CE" w:cs="Courier CE"/>
          <w:kern w:val="0"/>
          <w:sz w:val="16"/>
          <w:szCs w:val="16"/>
        </w:rPr>
        <w:t xml:space="preserve">    stavební části v příslušné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nebo jako součást či technické            odpisové skupině dle zatřídění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zhodnocení jiné stavby.                   jednotlivého samostatného movitého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- 4. - 6. odpisová skupina.                 majetku, nebo jako soubor hmotných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movitých věcí (zatříděný do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odpisové skupiny dle hlavního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funkčního předmětu, kterým budou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nejčastěji fotovoltaické panely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nebo střídače).</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 Nejčastěji 3. odpisová skupina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(popř. 2. odpisová skupina).</w:t>
      </w:r>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b/>
          <w:bCs/>
          <w:kern w:val="0"/>
          <w:sz w:val="16"/>
          <w:szCs w:val="16"/>
        </w:rPr>
        <w:tab/>
        <w:t>Baterie</w:t>
      </w:r>
      <w:r>
        <w:rPr>
          <w:rFonts w:ascii="Arial" w:hAnsi="Arial" w:cs="Arial"/>
          <w:kern w:val="0"/>
          <w:sz w:val="16"/>
          <w:szCs w:val="16"/>
        </w:rPr>
        <w:t xml:space="preserve"> (bateriové úložiště) - neslouží k výrobě elektrické energie, ale k jejímu uchovávání.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Zatřídí se dle klasifikace CZ-CPA.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Budou odpisovány dle zatřídění jednotlivého samostatného hmotného majetku (27.20 Baterie a akumulátory, vč. subdodavatelských prací).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kern w:val="0"/>
          <w:sz w:val="16"/>
          <w:szCs w:val="16"/>
        </w:rPr>
        <w:tab/>
        <w:t>-</w:t>
      </w:r>
      <w:r>
        <w:rPr>
          <w:rFonts w:ascii="Arial" w:hAnsi="Arial" w:cs="Arial"/>
          <w:b/>
          <w:bCs/>
          <w:kern w:val="0"/>
          <w:sz w:val="16"/>
          <w:szCs w:val="16"/>
        </w:rPr>
        <w:t xml:space="preserve"> 2. odpisová skupina.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2.2 Specifické situace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FTVE jako součást stavby </w:t>
      </w:r>
    </w:p>
    <w:p w:rsidR="00B852C5" w:rsidRDefault="00B852C5">
      <w:pPr>
        <w:widowControl w:val="0"/>
        <w:autoSpaceDE w:val="0"/>
        <w:autoSpaceDN w:val="0"/>
        <w:adjustRightInd w:val="0"/>
        <w:spacing w:after="0" w:line="240" w:lineRule="auto"/>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Pokud je</w:t>
      </w:r>
      <w:r>
        <w:rPr>
          <w:rFonts w:ascii="Arial" w:hAnsi="Arial" w:cs="Arial"/>
          <w:b/>
          <w:bCs/>
          <w:kern w:val="0"/>
          <w:sz w:val="16"/>
          <w:szCs w:val="16"/>
        </w:rPr>
        <w:t xml:space="preserve"> FTVE zdrojem el. energie pro konkrétní budovu (dům) dle stavebních předpisů</w:t>
      </w:r>
      <w:r>
        <w:rPr>
          <w:rFonts w:ascii="Arial" w:hAnsi="Arial" w:cs="Arial"/>
          <w:kern w:val="0"/>
          <w:sz w:val="16"/>
          <w:szCs w:val="16"/>
        </w:rPr>
        <w:t xml:space="preserve">, pak je FTVE jako celek odpisována jako součást této budovy ve smyslu +++++) Přílohy č. 1 k </w:t>
      </w:r>
      <w:hyperlink r:id="rId14" w:history="1">
        <w:r>
          <w:rPr>
            <w:rFonts w:ascii="Arial" w:hAnsi="Arial" w:cs="Arial"/>
            <w:color w:val="0000FF"/>
            <w:kern w:val="0"/>
            <w:sz w:val="16"/>
            <w:szCs w:val="16"/>
            <w:u w:val="single"/>
          </w:rPr>
          <w:t>ZDP</w:t>
        </w:r>
      </w:hyperlink>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Dočasná stavba </w:t>
      </w:r>
    </w:p>
    <w:p w:rsidR="00B852C5" w:rsidRDefault="00B852C5">
      <w:pPr>
        <w:widowControl w:val="0"/>
        <w:autoSpaceDE w:val="0"/>
        <w:autoSpaceDN w:val="0"/>
        <w:adjustRightInd w:val="0"/>
        <w:spacing w:after="0" w:line="240" w:lineRule="auto"/>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FTVE je stavbou, na jejíž technologickou část se pro účely </w:t>
      </w:r>
      <w:hyperlink r:id="rId15" w:history="1">
        <w:r>
          <w:rPr>
            <w:rFonts w:ascii="Arial" w:hAnsi="Arial" w:cs="Arial"/>
            <w:color w:val="0000FF"/>
            <w:kern w:val="0"/>
            <w:sz w:val="16"/>
            <w:szCs w:val="16"/>
            <w:u w:val="single"/>
          </w:rPr>
          <w:t>ZDP</w:t>
        </w:r>
      </w:hyperlink>
      <w:r>
        <w:rPr>
          <w:rFonts w:ascii="Arial" w:hAnsi="Arial" w:cs="Arial"/>
          <w:kern w:val="0"/>
          <w:sz w:val="16"/>
          <w:szCs w:val="16"/>
        </w:rPr>
        <w:t xml:space="preserve"> uplatní fikce samostatné hmotné movité věci (resp. více samostatných hmotných movitých věcí) ve smyslu </w:t>
      </w:r>
      <w:hyperlink r:id="rId16" w:history="1">
        <w:r>
          <w:rPr>
            <w:rFonts w:ascii="Arial" w:hAnsi="Arial" w:cs="Arial"/>
            <w:color w:val="0000FF"/>
            <w:kern w:val="0"/>
            <w:sz w:val="16"/>
            <w:szCs w:val="16"/>
            <w:u w:val="single"/>
          </w:rPr>
          <w:t>§ 26 odst. 2 ZDP</w:t>
        </w:r>
      </w:hyperlink>
      <w:r>
        <w:rPr>
          <w:rFonts w:ascii="Arial" w:hAnsi="Arial" w:cs="Arial"/>
          <w:kern w:val="0"/>
          <w:sz w:val="16"/>
          <w:szCs w:val="16"/>
        </w:rPr>
        <w:t>. Pokud stavební úřad předem</w:t>
      </w:r>
      <w:r>
        <w:rPr>
          <w:rFonts w:ascii="Arial" w:hAnsi="Arial" w:cs="Arial"/>
          <w:b/>
          <w:bCs/>
          <w:kern w:val="0"/>
          <w:sz w:val="16"/>
          <w:szCs w:val="16"/>
        </w:rPr>
        <w:t xml:space="preserve"> omezí dobu trvání nebo životnosti stavby FTVE</w:t>
      </w:r>
      <w:r>
        <w:rPr>
          <w:rFonts w:ascii="Arial" w:hAnsi="Arial" w:cs="Arial"/>
          <w:kern w:val="0"/>
          <w:sz w:val="16"/>
          <w:szCs w:val="16"/>
        </w:rPr>
        <w:t xml:space="preserve"> v souladu se zákonem č. </w:t>
      </w:r>
      <w:hyperlink r:id="rId17" w:history="1">
        <w:r>
          <w:rPr>
            <w:rFonts w:ascii="Arial" w:hAnsi="Arial" w:cs="Arial"/>
            <w:color w:val="0000FF"/>
            <w:kern w:val="0"/>
            <w:sz w:val="16"/>
            <w:szCs w:val="16"/>
            <w:u w:val="single"/>
          </w:rPr>
          <w:t>283/2021 Sb.</w:t>
        </w:r>
      </w:hyperlink>
      <w:r>
        <w:rPr>
          <w:rFonts w:ascii="Arial" w:hAnsi="Arial" w:cs="Arial"/>
          <w:kern w:val="0"/>
          <w:sz w:val="16"/>
          <w:szCs w:val="16"/>
        </w:rPr>
        <w:t>, ve znění pozdějších předpisů ("</w:t>
      </w:r>
      <w:hyperlink r:id="rId18" w:history="1">
        <w:r>
          <w:rPr>
            <w:rFonts w:ascii="Arial" w:hAnsi="Arial" w:cs="Arial"/>
            <w:color w:val="0000FF"/>
            <w:kern w:val="0"/>
            <w:sz w:val="16"/>
            <w:szCs w:val="16"/>
            <w:u w:val="single"/>
          </w:rPr>
          <w:t>stavební zákon</w:t>
        </w:r>
      </w:hyperlink>
      <w:r>
        <w:rPr>
          <w:rFonts w:ascii="Arial" w:hAnsi="Arial" w:cs="Arial"/>
          <w:kern w:val="0"/>
          <w:sz w:val="16"/>
          <w:szCs w:val="16"/>
        </w:rPr>
        <w:t xml:space="preserve">"), pak "dočasnost" stanovená dle </w:t>
      </w:r>
      <w:hyperlink r:id="rId19" w:history="1">
        <w:r>
          <w:rPr>
            <w:rFonts w:ascii="Arial" w:hAnsi="Arial" w:cs="Arial"/>
            <w:color w:val="0000FF"/>
            <w:kern w:val="0"/>
            <w:sz w:val="16"/>
            <w:szCs w:val="16"/>
            <w:u w:val="single"/>
          </w:rPr>
          <w:t>stavebního zákona</w:t>
        </w:r>
      </w:hyperlink>
      <w:r>
        <w:rPr>
          <w:rFonts w:ascii="Arial" w:hAnsi="Arial" w:cs="Arial"/>
          <w:kern w:val="0"/>
          <w:sz w:val="16"/>
          <w:szCs w:val="16"/>
        </w:rPr>
        <w:t xml:space="preserve"> se logicky vztahuje na stavbu FTVE jako celek, tedy i na její technologickou část.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 ohledem na dlouholetou praxi v oblasti zatřiďování majetku sloužícího k výrobě elektřiny ze slunečního záření uplatňovanou ze strany odborné veřejnosti bude Finanční správa ČR s cílem zachování stability a kontinuity aplikační praxe respektovat postup, kdy technologické části stavby FTVE považované pro účely </w:t>
      </w:r>
      <w:hyperlink r:id="rId20" w:history="1">
        <w:r>
          <w:rPr>
            <w:rFonts w:ascii="Arial" w:hAnsi="Arial" w:cs="Arial"/>
            <w:color w:val="0000FF"/>
            <w:kern w:val="0"/>
            <w:sz w:val="16"/>
            <w:szCs w:val="16"/>
            <w:u w:val="single"/>
          </w:rPr>
          <w:t>ZDP</w:t>
        </w:r>
      </w:hyperlink>
      <w:r>
        <w:rPr>
          <w:rFonts w:ascii="Arial" w:hAnsi="Arial" w:cs="Arial"/>
          <w:kern w:val="0"/>
          <w:sz w:val="16"/>
          <w:szCs w:val="16"/>
        </w:rPr>
        <w:t xml:space="preserve"> za samostatné hmotné movité věci budou odpisovány dle bodu 2.1. Stavební část stavby FTVE pak bude odpisována dle </w:t>
      </w:r>
      <w:hyperlink r:id="rId21" w:history="1">
        <w:r>
          <w:rPr>
            <w:rFonts w:ascii="Arial" w:hAnsi="Arial" w:cs="Arial"/>
            <w:color w:val="0000FF"/>
            <w:kern w:val="0"/>
            <w:sz w:val="16"/>
            <w:szCs w:val="16"/>
            <w:u w:val="single"/>
          </w:rPr>
          <w:t>§ 30 odst. 4 ZDP</w:t>
        </w:r>
      </w:hyperlink>
      <w:r>
        <w:rPr>
          <w:rFonts w:ascii="Arial" w:hAnsi="Arial" w:cs="Arial"/>
          <w:kern w:val="0"/>
          <w:sz w:val="16"/>
          <w:szCs w:val="16"/>
        </w:rPr>
        <w:t xml:space="preserve">, tj. po dobu životnosti nebo trvání dočasné stavby.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lastRenderedPageBreak/>
        <w:tab/>
        <w:t xml:space="preserve">3 Odůvodnění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3.1 Základní princip </w:t>
      </w:r>
    </w:p>
    <w:p w:rsidR="00B852C5" w:rsidRDefault="00B852C5">
      <w:pPr>
        <w:widowControl w:val="0"/>
        <w:autoSpaceDE w:val="0"/>
        <w:autoSpaceDN w:val="0"/>
        <w:adjustRightInd w:val="0"/>
        <w:spacing w:after="0" w:line="240" w:lineRule="auto"/>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Základním principem posuzování FTVE jako hmotného majetku pro daňové účely je oddělení stavební a technologické části stavby FTVE a jejich samostatné odpisování ve smyslu </w:t>
      </w:r>
      <w:hyperlink r:id="rId22" w:history="1">
        <w:r>
          <w:rPr>
            <w:rFonts w:ascii="Arial" w:hAnsi="Arial" w:cs="Arial"/>
            <w:color w:val="0000FF"/>
            <w:kern w:val="0"/>
            <w:sz w:val="16"/>
            <w:szCs w:val="16"/>
            <w:u w:val="single"/>
          </w:rPr>
          <w:t>§ 26 odst. 2 ZDP</w:t>
        </w:r>
      </w:hyperlink>
      <w:r>
        <w:rPr>
          <w:rFonts w:ascii="Arial" w:hAnsi="Arial" w:cs="Arial"/>
          <w:kern w:val="0"/>
          <w:sz w:val="16"/>
          <w:szCs w:val="16"/>
        </w:rPr>
        <w:t xml:space="preserve">. To platí, pokud není FTVE zdrojem el. energie pro konkrétní budovu (objekt).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FTVE, která není zdrojem el. energie pouze pro konkrétní budovu (objekt), je výrobním zařízením, resp. účelovým zařízením s předměty sloužícími k provozování služeb (výkonů), které s budovou nebo se stavbou netvoří jeden funkční celek, i když jsou s ní pevně spojeny.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Odpisovat takovou FTVE jako jeden funkční celek by tedy nemělo technologické ani ekonomické opodstatnění, neboť: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hlavní (převažující) funkcí FTVE je výroba elektrické energie ze slunečního záření,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výrobu elektrické energie zajišťuje technologická část stavby FTVE,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nosná konstrukce FTVE a s ní související stavební část stavby plní pouze funkci podpůrnou (jako nosič technologie) a nepřispívá tedy svou funkcí přímo k zajištění výkonu technologické části zařízení.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Příslušná ustanovení </w:t>
      </w:r>
      <w:hyperlink r:id="rId23" w:history="1">
        <w:r>
          <w:rPr>
            <w:rFonts w:ascii="Arial" w:hAnsi="Arial" w:cs="Arial"/>
            <w:color w:val="0000FF"/>
            <w:kern w:val="0"/>
            <w:sz w:val="16"/>
            <w:szCs w:val="16"/>
            <w:u w:val="single"/>
          </w:rPr>
          <w:t>ZDP</w:t>
        </w:r>
      </w:hyperlink>
      <w:r>
        <w:rPr>
          <w:rFonts w:ascii="Arial" w:hAnsi="Arial" w:cs="Arial"/>
          <w:kern w:val="0"/>
          <w:sz w:val="16"/>
          <w:szCs w:val="16"/>
        </w:rPr>
        <w:t xml:space="preserve"> využívají pro zatřídění hmotného majetku do odpisových skupin statistickou klasifikaci CZ-CC nebo CZ-CPA, nicméně Český statistický úřad může pro statistické účely zohledňovat i jiná kritéria a odlišné principy, než se kterými pracuje </w:t>
      </w:r>
      <w:hyperlink r:id="rId24" w:history="1">
        <w:r>
          <w:rPr>
            <w:rFonts w:ascii="Arial" w:hAnsi="Arial" w:cs="Arial"/>
            <w:color w:val="0000FF"/>
            <w:kern w:val="0"/>
            <w:sz w:val="16"/>
            <w:szCs w:val="16"/>
            <w:u w:val="single"/>
          </w:rPr>
          <w:t>ZDP</w:t>
        </w:r>
      </w:hyperlink>
      <w:r>
        <w:rPr>
          <w:rFonts w:ascii="Arial" w:hAnsi="Arial" w:cs="Arial"/>
          <w:kern w:val="0"/>
          <w:sz w:val="16"/>
          <w:szCs w:val="16"/>
        </w:rPr>
        <w:t xml:space="preserve"> pro účely zatřídění majetku do odpisových skupin. Je proto vhodné upozornit, že nelze vyloučit situace, kdy zařazení hmotného majetku do odpisových skupin pro daňové účely s ohledem na jeho stavebně-technické parametry nebude odrážet podrobné zatřídění stejného majetku pro ryze statistické účely (jež může brát v úvahu další specifická kritéria a konkrétní okolnosti).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Vybrané příklady zařazení hmotného majetku do odpisových skupin jsou blíže upraveny v příloze.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3.2 Právní rámec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 </w:t>
      </w:r>
      <w:hyperlink r:id="rId25" w:history="1">
        <w:r>
          <w:rPr>
            <w:rFonts w:ascii="Arial" w:hAnsi="Arial" w:cs="Arial"/>
            <w:b/>
            <w:bCs/>
            <w:color w:val="0000FF"/>
            <w:kern w:val="0"/>
            <w:sz w:val="16"/>
            <w:szCs w:val="16"/>
            <w:u w:val="single"/>
          </w:rPr>
          <w:t>Stavební zákon</w:t>
        </w:r>
      </w:hyperlink>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Dle </w:t>
      </w:r>
      <w:hyperlink r:id="rId26" w:history="1">
        <w:r>
          <w:rPr>
            <w:rFonts w:ascii="Arial" w:hAnsi="Arial" w:cs="Arial"/>
            <w:color w:val="0000FF"/>
            <w:kern w:val="0"/>
            <w:sz w:val="16"/>
            <w:szCs w:val="16"/>
            <w:u w:val="single"/>
          </w:rPr>
          <w:t>§ 5 stavebního zákona</w:t>
        </w:r>
      </w:hyperlink>
      <w:r>
        <w:rPr>
          <w:rFonts w:ascii="Arial" w:hAnsi="Arial" w:cs="Arial"/>
          <w:kern w:val="0"/>
          <w:sz w:val="16"/>
          <w:szCs w:val="16"/>
        </w:rPr>
        <w:t xml:space="preserve"> se stavbou rozumí stavební dílo, které vzniká stavební nebo montážní činností ze stavebních výrobků, materiálů nebo konstrukcí za účelem užívání na určitém místě. Za stavbu se považuje také výrobek plnící funkci stavby. Stavby se dělí na drobné, jednoduché a vyhrazené.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Přitom mezi stavby vyhrazené se řadí také výrobny z obnovitelných zdrojů energie s výjimkou vodních děl, a to: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výrobna elektřiny využívající energii slunečního záření s celkovým instalovaným elektrickým výkonem výrobny elektřiny nad 5 MW,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výrobna elektřiny s celkovým instalovaným elektrickým výkonem nad 1 MW, nejde-li o výrobnu elektřiny podle bodu 1. </w:t>
      </w:r>
    </w:p>
    <w:p w:rsidR="00B852C5" w:rsidRDefault="00B852C5">
      <w:pPr>
        <w:widowControl w:val="0"/>
        <w:autoSpaceDE w:val="0"/>
        <w:autoSpaceDN w:val="0"/>
        <w:adjustRightInd w:val="0"/>
        <w:spacing w:after="0" w:line="240" w:lineRule="auto"/>
        <w:jc w:val="both"/>
        <w:rPr>
          <w:rFonts w:ascii="Arial" w:hAnsi="Arial" w:cs="Arial"/>
          <w:b/>
          <w:bCs/>
          <w:color w:val="0000FF"/>
          <w:kern w:val="0"/>
          <w:sz w:val="16"/>
          <w:szCs w:val="16"/>
          <w:u w:val="single"/>
        </w:rPr>
      </w:pPr>
      <w:r>
        <w:rPr>
          <w:rFonts w:ascii="Arial" w:hAnsi="Arial" w:cs="Arial"/>
          <w:b/>
          <w:bCs/>
          <w:kern w:val="0"/>
          <w:sz w:val="16"/>
          <w:szCs w:val="16"/>
        </w:rPr>
        <w:tab/>
        <w:t xml:space="preserve"> </w:t>
      </w:r>
      <w:r>
        <w:rPr>
          <w:rFonts w:ascii="Arial" w:hAnsi="Arial" w:cs="Arial"/>
          <w:b/>
          <w:bCs/>
          <w:kern w:val="0"/>
          <w:sz w:val="16"/>
          <w:szCs w:val="16"/>
        </w:rPr>
        <w:fldChar w:fldCharType="begin"/>
      </w:r>
      <w:r>
        <w:rPr>
          <w:rFonts w:ascii="Arial" w:hAnsi="Arial" w:cs="Arial"/>
          <w:b/>
          <w:bCs/>
          <w:kern w:val="0"/>
          <w:sz w:val="16"/>
          <w:szCs w:val="16"/>
        </w:rPr>
        <w:instrText xml:space="preserve">HYPERLINK "aspi://module='ASPI'&amp;link='586/1992 Sb.%2523'&amp;ucin-k-dni='30.12.9999'" </w:instrText>
      </w:r>
      <w:r w:rsidR="00620188">
        <w:rPr>
          <w:rFonts w:ascii="Arial" w:hAnsi="Arial" w:cs="Arial"/>
          <w:b/>
          <w:bCs/>
          <w:kern w:val="0"/>
          <w:sz w:val="16"/>
          <w:szCs w:val="16"/>
        </w:rPr>
      </w:r>
      <w:r>
        <w:rPr>
          <w:rFonts w:ascii="Arial" w:hAnsi="Arial" w:cs="Arial"/>
          <w:b/>
          <w:bCs/>
          <w:kern w:val="0"/>
          <w:sz w:val="16"/>
          <w:szCs w:val="16"/>
        </w:rPr>
        <w:fldChar w:fldCharType="separate"/>
      </w:r>
      <w:r>
        <w:rPr>
          <w:rFonts w:ascii="Arial" w:hAnsi="Arial" w:cs="Arial"/>
          <w:b/>
          <w:bCs/>
          <w:color w:val="0000FF"/>
          <w:kern w:val="0"/>
          <w:sz w:val="16"/>
          <w:szCs w:val="16"/>
          <w:u w:val="single"/>
        </w:rPr>
        <w:t>ZDP</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fldChar w:fldCharType="end"/>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Dle </w:t>
      </w:r>
      <w:hyperlink r:id="rId27" w:history="1">
        <w:r>
          <w:rPr>
            <w:rFonts w:ascii="Arial" w:hAnsi="Arial" w:cs="Arial"/>
            <w:b/>
            <w:bCs/>
            <w:color w:val="0000FF"/>
            <w:kern w:val="0"/>
            <w:sz w:val="16"/>
            <w:szCs w:val="16"/>
            <w:u w:val="single"/>
          </w:rPr>
          <w:t>§ 26 odst. 2</w:t>
        </w:r>
        <w:r>
          <w:rPr>
            <w:rFonts w:ascii="Arial" w:hAnsi="Arial" w:cs="Arial"/>
            <w:color w:val="0000FF"/>
            <w:kern w:val="0"/>
            <w:sz w:val="16"/>
            <w:szCs w:val="16"/>
            <w:u w:val="single"/>
          </w:rPr>
          <w:t xml:space="preserve"> ZDP</w:t>
        </w:r>
      </w:hyperlink>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b/>
          <w:bCs/>
          <w:kern w:val="0"/>
          <w:sz w:val="16"/>
          <w:szCs w:val="16"/>
        </w:rPr>
        <w:tab/>
        <w:t>- písm. a)</w:t>
      </w:r>
      <w:r>
        <w:rPr>
          <w:rFonts w:ascii="Arial" w:hAnsi="Arial" w:cs="Arial"/>
          <w:kern w:val="0"/>
          <w:sz w:val="16"/>
          <w:szCs w:val="16"/>
        </w:rPr>
        <w:t xml:space="preserve"> se hmotným majetkem pro účely </w:t>
      </w:r>
      <w:hyperlink r:id="rId28" w:history="1">
        <w:r>
          <w:rPr>
            <w:rFonts w:ascii="Arial" w:hAnsi="Arial" w:cs="Arial"/>
            <w:color w:val="0000FF"/>
            <w:kern w:val="0"/>
            <w:sz w:val="16"/>
            <w:szCs w:val="16"/>
            <w:u w:val="single"/>
          </w:rPr>
          <w:t>ZDP</w:t>
        </w:r>
      </w:hyperlink>
      <w:r>
        <w:rPr>
          <w:rFonts w:ascii="Arial" w:hAnsi="Arial" w:cs="Arial"/>
          <w:kern w:val="0"/>
          <w:sz w:val="16"/>
          <w:szCs w:val="16"/>
        </w:rPr>
        <w:t xml:space="preserve"> rozumí samostatné hmotné movité věci, popřípadě soubor hmotných movitých věcí se samostatným </w:t>
      </w:r>
      <w:proofErr w:type="spellStart"/>
      <w:r>
        <w:rPr>
          <w:rFonts w:ascii="Arial" w:hAnsi="Arial" w:cs="Arial"/>
          <w:kern w:val="0"/>
          <w:sz w:val="16"/>
          <w:szCs w:val="16"/>
        </w:rPr>
        <w:t>technicko-ekonomickým</w:t>
      </w:r>
      <w:proofErr w:type="spellEnd"/>
      <w:r>
        <w:rPr>
          <w:rFonts w:ascii="Arial" w:hAnsi="Arial" w:cs="Arial"/>
          <w:kern w:val="0"/>
          <w:sz w:val="16"/>
          <w:szCs w:val="16"/>
        </w:rPr>
        <w:t xml:space="preserve"> určením, jejichž vstupní cena je vyšší než 80 000 Kč a mají provozně technické funkce delší než jeden rok,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w:t>
      </w:r>
      <w:r>
        <w:rPr>
          <w:rFonts w:ascii="Arial" w:hAnsi="Arial" w:cs="Arial"/>
          <w:b/>
          <w:bCs/>
          <w:kern w:val="0"/>
          <w:sz w:val="16"/>
          <w:szCs w:val="16"/>
        </w:rPr>
        <w:t xml:space="preserve"> písm. c)</w:t>
      </w:r>
      <w:r>
        <w:rPr>
          <w:rFonts w:ascii="Arial" w:hAnsi="Arial" w:cs="Arial"/>
          <w:kern w:val="0"/>
          <w:sz w:val="16"/>
          <w:szCs w:val="16"/>
        </w:rPr>
        <w:t xml:space="preserve"> se hmotným majetkem pro účely </w:t>
      </w:r>
      <w:hyperlink r:id="rId29" w:history="1">
        <w:r>
          <w:rPr>
            <w:rFonts w:ascii="Arial" w:hAnsi="Arial" w:cs="Arial"/>
            <w:color w:val="0000FF"/>
            <w:kern w:val="0"/>
            <w:sz w:val="16"/>
            <w:szCs w:val="16"/>
            <w:u w:val="single"/>
          </w:rPr>
          <w:t>ZDP</w:t>
        </w:r>
      </w:hyperlink>
      <w:r>
        <w:rPr>
          <w:rFonts w:ascii="Arial" w:hAnsi="Arial" w:cs="Arial"/>
          <w:kern w:val="0"/>
          <w:sz w:val="16"/>
          <w:szCs w:val="16"/>
        </w:rPr>
        <w:t xml:space="preserve"> rozumí stavby,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w:t>
      </w:r>
      <w:r>
        <w:rPr>
          <w:rFonts w:ascii="Arial" w:hAnsi="Arial" w:cs="Arial"/>
          <w:b/>
          <w:bCs/>
          <w:kern w:val="0"/>
          <w:sz w:val="16"/>
          <w:szCs w:val="16"/>
        </w:rPr>
        <w:t xml:space="preserve"> závětí</w:t>
      </w:r>
      <w:r>
        <w:rPr>
          <w:rFonts w:ascii="Arial" w:hAnsi="Arial" w:cs="Arial"/>
          <w:kern w:val="0"/>
          <w:sz w:val="16"/>
          <w:szCs w:val="16"/>
        </w:rPr>
        <w:t xml:space="preserve"> se za samostatné hmotné movité věci považují také výrobní zařízení, jakož i zařízení a předměty sloužící k provozování služeb (výkonů) a účelová zařízení a předměty, která s budovou nebo se stavbou netvoří jeden funkční celek, i když jsou s ní pevně spojeny. Souborem hmotných movitých věcí se samostatným </w:t>
      </w:r>
      <w:proofErr w:type="spellStart"/>
      <w:r>
        <w:rPr>
          <w:rFonts w:ascii="Arial" w:hAnsi="Arial" w:cs="Arial"/>
          <w:kern w:val="0"/>
          <w:sz w:val="16"/>
          <w:szCs w:val="16"/>
        </w:rPr>
        <w:t>technicko-ekonomickým</w:t>
      </w:r>
      <w:proofErr w:type="spellEnd"/>
      <w:r>
        <w:rPr>
          <w:rFonts w:ascii="Arial" w:hAnsi="Arial" w:cs="Arial"/>
          <w:kern w:val="0"/>
          <w:sz w:val="16"/>
          <w:szCs w:val="16"/>
        </w:rPr>
        <w:t xml:space="preserve"> určením se rozumí dílčí část výrobního či jiného celku.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Dočasné stavby </w:t>
      </w:r>
    </w:p>
    <w:p w:rsidR="00B852C5" w:rsidRDefault="00B852C5">
      <w:pPr>
        <w:widowControl w:val="0"/>
        <w:autoSpaceDE w:val="0"/>
        <w:autoSpaceDN w:val="0"/>
        <w:adjustRightInd w:val="0"/>
        <w:spacing w:after="0" w:line="240" w:lineRule="auto"/>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 stavební části FTVE jako dočasné stavby se dle </w:t>
      </w:r>
      <w:hyperlink r:id="rId30" w:history="1">
        <w:r>
          <w:rPr>
            <w:rFonts w:ascii="Arial" w:hAnsi="Arial" w:cs="Arial"/>
            <w:color w:val="0000FF"/>
            <w:kern w:val="0"/>
            <w:sz w:val="16"/>
            <w:szCs w:val="16"/>
            <w:u w:val="single"/>
          </w:rPr>
          <w:t>§ 30 odst. 4 ZDP</w:t>
        </w:r>
      </w:hyperlink>
      <w:r>
        <w:rPr>
          <w:rFonts w:ascii="Arial" w:hAnsi="Arial" w:cs="Arial"/>
          <w:kern w:val="0"/>
          <w:sz w:val="16"/>
          <w:szCs w:val="16"/>
        </w:rPr>
        <w:t xml:space="preserve"> roční odpis stanoví jako podíl vstupní ceny a stanovené doby trvání u majetku, jehož životnost nebo doba trvání je stanovena v letech obecně závazným předpisem nebo příslušným orgánem na základě zmocnění ve zvláštním zákoně.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FTVE jako součást (jiné) stavby </w:t>
      </w:r>
    </w:p>
    <w:p w:rsidR="00B852C5" w:rsidRDefault="00B852C5">
      <w:pPr>
        <w:widowControl w:val="0"/>
        <w:autoSpaceDE w:val="0"/>
        <w:autoSpaceDN w:val="0"/>
        <w:adjustRightInd w:val="0"/>
        <w:spacing w:after="0" w:line="240" w:lineRule="auto"/>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Dle</w:t>
      </w:r>
      <w:r>
        <w:rPr>
          <w:rFonts w:ascii="Arial" w:hAnsi="Arial" w:cs="Arial"/>
          <w:b/>
          <w:bCs/>
          <w:kern w:val="0"/>
          <w:sz w:val="16"/>
          <w:szCs w:val="16"/>
        </w:rPr>
        <w:t xml:space="preserve"> +++++) Přílohy č. 1</w:t>
      </w:r>
      <w:r>
        <w:rPr>
          <w:rFonts w:ascii="Arial" w:hAnsi="Arial" w:cs="Arial"/>
          <w:kern w:val="0"/>
          <w:sz w:val="16"/>
          <w:szCs w:val="16"/>
        </w:rPr>
        <w:t xml:space="preserve"> k </w:t>
      </w:r>
      <w:hyperlink r:id="rId31" w:history="1">
        <w:r>
          <w:rPr>
            <w:rFonts w:ascii="Arial" w:hAnsi="Arial" w:cs="Arial"/>
            <w:color w:val="0000FF"/>
            <w:kern w:val="0"/>
            <w:sz w:val="16"/>
            <w:szCs w:val="16"/>
            <w:u w:val="single"/>
          </w:rPr>
          <w:t>ZDP</w:t>
        </w:r>
      </w:hyperlink>
      <w:r>
        <w:rPr>
          <w:rFonts w:ascii="Arial" w:hAnsi="Arial" w:cs="Arial"/>
          <w:kern w:val="0"/>
          <w:sz w:val="16"/>
          <w:szCs w:val="16"/>
        </w:rPr>
        <w:t xml:space="preserve"> jsou nedílnou součástí domů, budov a staveb (stavebních děl) zařízení a předměty, které z hlediska stavebního díla umožňují jeho funkci a účel, ke kterému je určeno. Takováto zařízení a předměty musí být se stavebním dílem pevně spojena a nelze je demontovat, aniž by došlo ke znehodnocení funkce účelu stavebního díla, a jsou zpravidla součástí celkové dodávky stavebního díla. </w:t>
      </w:r>
    </w:p>
    <w:p w:rsidR="00B852C5" w:rsidRDefault="00B852C5">
      <w:pPr>
        <w:widowControl w:val="0"/>
        <w:autoSpaceDE w:val="0"/>
        <w:autoSpaceDN w:val="0"/>
        <w:adjustRightInd w:val="0"/>
        <w:spacing w:after="0" w:line="240" w:lineRule="auto"/>
        <w:jc w:val="both"/>
        <w:rPr>
          <w:rFonts w:ascii="Arial" w:hAnsi="Arial" w:cs="Arial"/>
          <w:b/>
          <w:bCs/>
          <w:kern w:val="0"/>
          <w:sz w:val="16"/>
          <w:szCs w:val="16"/>
        </w:rPr>
      </w:pPr>
      <w:r>
        <w:rPr>
          <w:rFonts w:ascii="Arial" w:hAnsi="Arial" w:cs="Arial"/>
          <w:b/>
          <w:bCs/>
          <w:kern w:val="0"/>
          <w:sz w:val="16"/>
          <w:szCs w:val="16"/>
        </w:rPr>
        <w:tab/>
        <w:t xml:space="preserve">4 Přechodná ustanovení </w:t>
      </w:r>
    </w:p>
    <w:p w:rsidR="00B852C5" w:rsidRDefault="00B852C5">
      <w:pPr>
        <w:widowControl w:val="0"/>
        <w:autoSpaceDE w:val="0"/>
        <w:autoSpaceDN w:val="0"/>
        <w:adjustRightInd w:val="0"/>
        <w:spacing w:after="0" w:line="240" w:lineRule="auto"/>
        <w:rPr>
          <w:rFonts w:ascii="Arial" w:hAnsi="Arial" w:cs="Arial"/>
          <w:b/>
          <w:bCs/>
          <w:kern w:val="0"/>
          <w:sz w:val="16"/>
          <w:szCs w:val="16"/>
        </w:rPr>
      </w:pPr>
      <w:r>
        <w:rPr>
          <w:rFonts w:ascii="Arial" w:hAnsi="Arial" w:cs="Arial"/>
          <w:b/>
          <w:bCs/>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Pokud bylo u FTVE jako hmotného majetku zahájeno (časové) odpisování dle </w:t>
      </w:r>
      <w:hyperlink r:id="rId32" w:history="1">
        <w:r>
          <w:rPr>
            <w:rFonts w:ascii="Arial" w:hAnsi="Arial" w:cs="Arial"/>
            <w:color w:val="0000FF"/>
            <w:kern w:val="0"/>
            <w:sz w:val="16"/>
            <w:szCs w:val="16"/>
            <w:u w:val="single"/>
          </w:rPr>
          <w:t>§ 30b ZDP</w:t>
        </w:r>
      </w:hyperlink>
      <w:r>
        <w:rPr>
          <w:rFonts w:ascii="Arial" w:hAnsi="Arial" w:cs="Arial"/>
          <w:kern w:val="0"/>
          <w:sz w:val="16"/>
          <w:szCs w:val="16"/>
        </w:rPr>
        <w:t xml:space="preserve"> (rovnoměrně, měsíčně po dobu 240 měsíců), bude tento způsob odpisování poplatníkem uplatňován i nadále. Ve smyslu </w:t>
      </w:r>
      <w:hyperlink r:id="rId33" w:history="1">
        <w:r>
          <w:rPr>
            <w:rFonts w:ascii="Arial" w:hAnsi="Arial" w:cs="Arial"/>
            <w:color w:val="0000FF"/>
            <w:kern w:val="0"/>
            <w:sz w:val="16"/>
            <w:szCs w:val="16"/>
            <w:u w:val="single"/>
          </w:rPr>
          <w:t>§ 30b odst. 2 ZDP</w:t>
        </w:r>
      </w:hyperlink>
      <w:r>
        <w:rPr>
          <w:rFonts w:ascii="Arial" w:hAnsi="Arial" w:cs="Arial"/>
          <w:kern w:val="0"/>
          <w:sz w:val="16"/>
          <w:szCs w:val="16"/>
        </w:rPr>
        <w:t xml:space="preserve"> vznikla poplatníkovi povinnost zahájit odpisování počínaje následujícím měsícem po měsíci, v němž byly splněny podmínky pro odpisování.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Novela nicméně stanoví speciální pravidlo pro položky hmotného majetku, u kterých bylo poplatníkem zahájeno </w:t>
      </w:r>
      <w:r>
        <w:rPr>
          <w:rFonts w:ascii="Arial" w:hAnsi="Arial" w:cs="Arial"/>
          <w:kern w:val="0"/>
          <w:sz w:val="16"/>
          <w:szCs w:val="16"/>
        </w:rPr>
        <w:lastRenderedPageBreak/>
        <w:t xml:space="preserve">(časové) odpisování dle </w:t>
      </w:r>
      <w:hyperlink r:id="rId34" w:history="1">
        <w:r>
          <w:rPr>
            <w:rFonts w:ascii="Arial" w:hAnsi="Arial" w:cs="Arial"/>
            <w:color w:val="0000FF"/>
            <w:kern w:val="0"/>
            <w:sz w:val="16"/>
            <w:szCs w:val="16"/>
            <w:u w:val="single"/>
          </w:rPr>
          <w:t>§ 30b ZDP</w:t>
        </w:r>
      </w:hyperlink>
      <w:r>
        <w:rPr>
          <w:rFonts w:ascii="Arial" w:hAnsi="Arial" w:cs="Arial"/>
          <w:kern w:val="0"/>
          <w:sz w:val="16"/>
          <w:szCs w:val="16"/>
        </w:rPr>
        <w:t xml:space="preserve"> po 30. červnu 2024 do 31. července 2025. U tohoto hmotného majetku se může poplatník rozhodnout, zda bude i nadále pokračovat v (časovém) odpisování způsobem dle </w:t>
      </w:r>
      <w:hyperlink r:id="rId35" w:history="1">
        <w:r>
          <w:rPr>
            <w:rFonts w:ascii="Arial" w:hAnsi="Arial" w:cs="Arial"/>
            <w:color w:val="0000FF"/>
            <w:kern w:val="0"/>
            <w:sz w:val="16"/>
            <w:szCs w:val="16"/>
            <w:u w:val="single"/>
          </w:rPr>
          <w:t>§ 30b ZDP</w:t>
        </w:r>
      </w:hyperlink>
      <w:r>
        <w:rPr>
          <w:rFonts w:ascii="Arial" w:hAnsi="Arial" w:cs="Arial"/>
          <w:kern w:val="0"/>
          <w:sz w:val="16"/>
          <w:szCs w:val="16"/>
        </w:rPr>
        <w:t xml:space="preserve">, nebo u tohoto majetku zvolí způsob odpisování popsaný výše (zařadí tedy tento hmotný majetek do odpisových skupin vymezených v </w:t>
      </w:r>
      <w:hyperlink r:id="rId36" w:history="1">
        <w:r>
          <w:rPr>
            <w:rFonts w:ascii="Arial" w:hAnsi="Arial" w:cs="Arial"/>
            <w:color w:val="0000FF"/>
            <w:kern w:val="0"/>
            <w:sz w:val="16"/>
            <w:szCs w:val="16"/>
            <w:u w:val="single"/>
          </w:rPr>
          <w:t>Příloze č. 1</w:t>
        </w:r>
      </w:hyperlink>
      <w:r>
        <w:rPr>
          <w:rFonts w:ascii="Arial" w:hAnsi="Arial" w:cs="Arial"/>
          <w:kern w:val="0"/>
          <w:sz w:val="16"/>
          <w:szCs w:val="16"/>
        </w:rPr>
        <w:t xml:space="preserve"> k </w:t>
      </w:r>
      <w:hyperlink r:id="rId37" w:history="1">
        <w:r>
          <w:rPr>
            <w:rFonts w:ascii="Arial" w:hAnsi="Arial" w:cs="Arial"/>
            <w:color w:val="0000FF"/>
            <w:kern w:val="0"/>
            <w:sz w:val="16"/>
            <w:szCs w:val="16"/>
            <w:u w:val="single"/>
          </w:rPr>
          <w:t>ZDP</w:t>
        </w:r>
      </w:hyperlink>
      <w:r>
        <w:rPr>
          <w:rFonts w:ascii="Arial" w:hAnsi="Arial" w:cs="Arial"/>
          <w:kern w:val="0"/>
          <w:sz w:val="16"/>
          <w:szCs w:val="16"/>
        </w:rPr>
        <w:t xml:space="preserve"> a vybere si mezi rovnoměrným či zrychleným odpisováním). Tuto možnost (tj. volba mezi odepisováním podle </w:t>
      </w:r>
      <w:hyperlink r:id="rId38" w:history="1">
        <w:r>
          <w:rPr>
            <w:rFonts w:ascii="Arial" w:hAnsi="Arial" w:cs="Arial"/>
            <w:color w:val="0000FF"/>
            <w:kern w:val="0"/>
            <w:sz w:val="16"/>
            <w:szCs w:val="16"/>
            <w:u w:val="single"/>
          </w:rPr>
          <w:t>§ 30b ZDP</w:t>
        </w:r>
      </w:hyperlink>
      <w:r>
        <w:rPr>
          <w:rFonts w:ascii="Arial" w:hAnsi="Arial" w:cs="Arial"/>
          <w:kern w:val="0"/>
          <w:sz w:val="16"/>
          <w:szCs w:val="16"/>
        </w:rPr>
        <w:t xml:space="preserve">, nebo podle </w:t>
      </w:r>
      <w:hyperlink r:id="rId39" w:history="1">
        <w:r>
          <w:rPr>
            <w:rFonts w:ascii="Arial" w:hAnsi="Arial" w:cs="Arial"/>
            <w:color w:val="0000FF"/>
            <w:kern w:val="0"/>
            <w:sz w:val="16"/>
            <w:szCs w:val="16"/>
            <w:u w:val="single"/>
          </w:rPr>
          <w:t>§ 30 ZDP</w:t>
        </w:r>
      </w:hyperlink>
      <w:r>
        <w:rPr>
          <w:rFonts w:ascii="Arial" w:hAnsi="Arial" w:cs="Arial"/>
          <w:kern w:val="0"/>
          <w:sz w:val="16"/>
          <w:szCs w:val="16"/>
        </w:rPr>
        <w:t xml:space="preserve">) může využít i poplatník, který je nositelem investiční pobídky - volba způsobu odpisování nebude sama o sobě chápána jako porušení zvláštních podmínek pro uplatnění slevy na dani dle </w:t>
      </w:r>
      <w:hyperlink r:id="rId40" w:history="1">
        <w:r>
          <w:rPr>
            <w:rFonts w:ascii="Arial" w:hAnsi="Arial" w:cs="Arial"/>
            <w:color w:val="0000FF"/>
            <w:kern w:val="0"/>
            <w:sz w:val="16"/>
            <w:szCs w:val="16"/>
            <w:u w:val="single"/>
          </w:rPr>
          <w:t>§ 35a</w:t>
        </w:r>
      </w:hyperlink>
      <w:r>
        <w:rPr>
          <w:rFonts w:ascii="Arial" w:hAnsi="Arial" w:cs="Arial"/>
          <w:kern w:val="0"/>
          <w:sz w:val="16"/>
          <w:szCs w:val="16"/>
        </w:rPr>
        <w:t xml:space="preserve"> a </w:t>
      </w:r>
      <w:hyperlink r:id="rId41" w:history="1">
        <w:r>
          <w:rPr>
            <w:rFonts w:ascii="Arial" w:hAnsi="Arial" w:cs="Arial"/>
            <w:color w:val="0000FF"/>
            <w:kern w:val="0"/>
            <w:sz w:val="16"/>
            <w:szCs w:val="16"/>
            <w:u w:val="single"/>
          </w:rPr>
          <w:t>§ 35b ZDP</w:t>
        </w:r>
      </w:hyperlink>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případě, že si poplatník zvolí u vybraného hmotného majetku uplatňování daňových odpisů v základu daně dle zatřídění do odpisových skupin, bude tento způsob uplatňovat od zahájení odpisování tohoto hmotného majetku. Pokud poplatník časové odpisy dle </w:t>
      </w:r>
      <w:hyperlink r:id="rId42" w:history="1">
        <w:r>
          <w:rPr>
            <w:rFonts w:ascii="Arial" w:hAnsi="Arial" w:cs="Arial"/>
            <w:color w:val="0000FF"/>
            <w:kern w:val="0"/>
            <w:sz w:val="16"/>
            <w:szCs w:val="16"/>
            <w:u w:val="single"/>
          </w:rPr>
          <w:t>§ 30b ZDP</w:t>
        </w:r>
      </w:hyperlink>
      <w:r>
        <w:rPr>
          <w:rFonts w:ascii="Arial" w:hAnsi="Arial" w:cs="Arial"/>
          <w:kern w:val="0"/>
          <w:sz w:val="16"/>
          <w:szCs w:val="16"/>
        </w:rPr>
        <w:t xml:space="preserve"> již uplatnil v daňovém přiznání, podá dodatečné (popř. opravné) daňové přiznání, ve kterém promítne zvolený (nový) způsob odpisování. </w:t>
      </w:r>
    </w:p>
    <w:p w:rsidR="00B852C5" w:rsidRDefault="00B852C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případě, kdy poplatník zahájí daňové odpisování od data účinnosti novely (tj. od 1. 8. 2025), bude majetek využívaný k výrobě elektřiny ze slunečního záření možné odpisovat pouze rovnoměrným nebo zrychleným způsobem dle zařazení do odpisových skupin vymezených v </w:t>
      </w:r>
      <w:hyperlink r:id="rId43" w:history="1">
        <w:r>
          <w:rPr>
            <w:rFonts w:ascii="Arial" w:hAnsi="Arial" w:cs="Arial"/>
            <w:color w:val="0000FF"/>
            <w:kern w:val="0"/>
            <w:sz w:val="16"/>
            <w:szCs w:val="16"/>
            <w:u w:val="single"/>
          </w:rPr>
          <w:t>Příloze č. 1</w:t>
        </w:r>
      </w:hyperlink>
      <w:r>
        <w:rPr>
          <w:rFonts w:ascii="Arial" w:hAnsi="Arial" w:cs="Arial"/>
          <w:kern w:val="0"/>
          <w:sz w:val="16"/>
          <w:szCs w:val="16"/>
        </w:rPr>
        <w:t xml:space="preserve"> k </w:t>
      </w:r>
      <w:hyperlink r:id="rId44" w:history="1">
        <w:r>
          <w:rPr>
            <w:rFonts w:ascii="Arial" w:hAnsi="Arial" w:cs="Arial"/>
            <w:color w:val="0000FF"/>
            <w:kern w:val="0"/>
            <w:sz w:val="16"/>
            <w:szCs w:val="16"/>
            <w:u w:val="single"/>
          </w:rPr>
          <w:t>ZDP</w:t>
        </w:r>
      </w:hyperlink>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I-------------------------------I</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I     Elektronicky podepsáno    I</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I           13.06.2025          I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I       Ing. Radek Novotný      I</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I         ředitel sekce         I</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I-------------------------------I </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rsidR="00B852C5" w:rsidRDefault="00B852C5">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Příloha</w:t>
      </w:r>
    </w:p>
    <w:p w:rsidR="00B852C5" w:rsidRDefault="00B852C5">
      <w:pPr>
        <w:widowControl w:val="0"/>
        <w:autoSpaceDE w:val="0"/>
        <w:autoSpaceDN w:val="0"/>
        <w:adjustRightInd w:val="0"/>
        <w:spacing w:after="0" w:line="240" w:lineRule="auto"/>
        <w:jc w:val="center"/>
        <w:rPr>
          <w:rFonts w:ascii="Arial" w:hAnsi="Arial" w:cs="Arial"/>
          <w:kern w:val="0"/>
          <w:sz w:val="18"/>
          <w:szCs w:val="18"/>
        </w:rPr>
      </w:pPr>
    </w:p>
    <w:p w:rsidR="00B852C5" w:rsidRDefault="00B852C5">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Vybrané příklady zařazení majetku do odpisových skupin </w:t>
      </w:r>
    </w:p>
    <w:p w:rsidR="00B852C5" w:rsidRDefault="00B852C5">
      <w:pPr>
        <w:widowControl w:val="0"/>
        <w:autoSpaceDE w:val="0"/>
        <w:autoSpaceDN w:val="0"/>
        <w:adjustRightInd w:val="0"/>
        <w:spacing w:after="0" w:line="240" w:lineRule="auto"/>
        <w:rPr>
          <w:rFonts w:ascii="Arial" w:hAnsi="Arial" w:cs="Arial"/>
          <w:b/>
          <w:bCs/>
          <w:kern w:val="0"/>
          <w:sz w:val="18"/>
          <w:szCs w:val="18"/>
        </w:rPr>
      </w:pPr>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Název položky          I Kód položky     I Odpisová I Poznámka             I</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klasifikace CZ-        I klasifikace     I </w:t>
      </w:r>
      <w:proofErr w:type="gramStart"/>
      <w:r>
        <w:rPr>
          <w:rFonts w:ascii="Courier" w:hAnsi="Courier" w:cs="Courier"/>
          <w:kern w:val="0"/>
          <w:sz w:val="16"/>
          <w:szCs w:val="16"/>
        </w:rPr>
        <w:t>skupina  I</w:t>
      </w:r>
      <w:proofErr w:type="gram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CPA/CZ-CC              I CZ-CPA/CZ- CC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Stavby elektráren      I 2302            I 4        I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(díla energetická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gramStart"/>
      <w:r>
        <w:rPr>
          <w:rFonts w:ascii="Courier" w:hAnsi="Courier" w:cs="Courier"/>
          <w:kern w:val="0"/>
          <w:sz w:val="16"/>
          <w:szCs w:val="16"/>
        </w:rPr>
        <w:t xml:space="preserve">výrobní)   </w:t>
      </w:r>
      <w:proofErr w:type="gram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Stavby výrobní pro     I 230249          I 4        I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energetiku j. n.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(kromě </w:t>
      </w:r>
      <w:proofErr w:type="gramStart"/>
      <w:r>
        <w:rPr>
          <w:rFonts w:ascii="Courier CE" w:hAnsi="Courier CE" w:cs="Courier CE"/>
          <w:kern w:val="0"/>
          <w:sz w:val="16"/>
          <w:szCs w:val="16"/>
        </w:rPr>
        <w:t xml:space="preserve">budov)   </w:t>
      </w:r>
      <w:proofErr w:type="gram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Polovodičová zařízení; I 26.11.22        I 2        I Do této položky      I</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diody vyzařující       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patří </w:t>
      </w:r>
      <w:proofErr w:type="gramStart"/>
      <w:r>
        <w:rPr>
          <w:rFonts w:ascii="Courier CE" w:hAnsi="Courier CE" w:cs="Courier CE"/>
          <w:kern w:val="0"/>
          <w:sz w:val="16"/>
          <w:szCs w:val="16"/>
        </w:rPr>
        <w:t>fotovoltaické  I</w:t>
      </w:r>
      <w:proofErr w:type="gram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světlo; zamontované    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články, moduly a     I</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piezoelektrické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panely.              I</w:t>
      </w:r>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krystaly; jejich </w:t>
      </w:r>
      <w:proofErr w:type="gramStart"/>
      <w:r>
        <w:rPr>
          <w:rFonts w:ascii="Courier" w:hAnsi="Courier" w:cs="Courier"/>
          <w:kern w:val="0"/>
          <w:sz w:val="16"/>
          <w:szCs w:val="16"/>
        </w:rPr>
        <w:t>díly  I</w:t>
      </w:r>
      <w:proofErr w:type="gram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gramStart"/>
      <w:r>
        <w:rPr>
          <w:rFonts w:ascii="Courier" w:hAnsi="Courier" w:cs="Courier"/>
          <w:kern w:val="0"/>
          <w:sz w:val="16"/>
          <w:szCs w:val="16"/>
        </w:rPr>
        <w:t xml:space="preserve">Invertory,   </w:t>
      </w:r>
      <w:proofErr w:type="gramEnd"/>
      <w:r>
        <w:rPr>
          <w:rFonts w:ascii="Courier" w:hAnsi="Courier" w:cs="Courier"/>
          <w:kern w:val="0"/>
          <w:sz w:val="16"/>
          <w:szCs w:val="16"/>
        </w:rPr>
        <w:t xml:space="preserve">          I 27.90.41        I 2        I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usměrňovače, měniče    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 Rozvaděče, </w:t>
      </w:r>
      <w:proofErr w:type="gramStart"/>
      <w:r>
        <w:rPr>
          <w:rFonts w:ascii="Courier CE" w:hAnsi="Courier CE" w:cs="Courier CE"/>
          <w:kern w:val="0"/>
          <w:sz w:val="16"/>
          <w:szCs w:val="16"/>
        </w:rPr>
        <w:t>rozvodné  I</w:t>
      </w:r>
      <w:proofErr w:type="gramEnd"/>
      <w:r>
        <w:rPr>
          <w:rFonts w:ascii="Courier CE" w:hAnsi="Courier CE" w:cs="Courier CE"/>
          <w:kern w:val="0"/>
          <w:sz w:val="16"/>
          <w:szCs w:val="16"/>
        </w:rPr>
        <w:t xml:space="preserve"> 27.12.31        I 2        I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panely a jiné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základny, vybavené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elektrickým </w:t>
      </w:r>
      <w:proofErr w:type="gramStart"/>
      <w:r>
        <w:rPr>
          <w:rFonts w:ascii="Courier CE" w:hAnsi="Courier CE" w:cs="Courier CE"/>
          <w:kern w:val="0"/>
          <w:sz w:val="16"/>
          <w:szCs w:val="16"/>
        </w:rPr>
        <w:t>zařízením  I</w:t>
      </w:r>
      <w:proofErr w:type="gram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k vypínání, spínání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nebo k ochraně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elektrických </w:t>
      </w:r>
      <w:proofErr w:type="gramStart"/>
      <w:r>
        <w:rPr>
          <w:rFonts w:ascii="Courier CE" w:hAnsi="Courier CE" w:cs="Courier CE"/>
          <w:kern w:val="0"/>
          <w:sz w:val="16"/>
          <w:szCs w:val="16"/>
        </w:rPr>
        <w:t xml:space="preserve">obvodů,   </w:t>
      </w:r>
      <w:proofErr w:type="gramEnd"/>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pro napětí &lt;= 1 000    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V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 Rozvaděče, </w:t>
      </w:r>
      <w:proofErr w:type="gramStart"/>
      <w:r>
        <w:rPr>
          <w:rFonts w:ascii="Courier CE" w:hAnsi="Courier CE" w:cs="Courier CE"/>
          <w:kern w:val="0"/>
          <w:sz w:val="16"/>
          <w:szCs w:val="16"/>
        </w:rPr>
        <w:t>rozvodné  I</w:t>
      </w:r>
      <w:proofErr w:type="gramEnd"/>
      <w:r>
        <w:rPr>
          <w:rFonts w:ascii="Courier CE" w:hAnsi="Courier CE" w:cs="Courier CE"/>
          <w:kern w:val="0"/>
          <w:sz w:val="16"/>
          <w:szCs w:val="16"/>
        </w:rPr>
        <w:t xml:space="preserve"> 27.12.32        I 3        I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panely a jiné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základny, vybavené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elektrickým </w:t>
      </w:r>
      <w:proofErr w:type="gramStart"/>
      <w:r>
        <w:rPr>
          <w:rFonts w:ascii="Courier CE" w:hAnsi="Courier CE" w:cs="Courier CE"/>
          <w:kern w:val="0"/>
          <w:sz w:val="16"/>
          <w:szCs w:val="16"/>
        </w:rPr>
        <w:t>zařízením  I</w:t>
      </w:r>
      <w:proofErr w:type="gram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k vypínání, spínání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nebo k ochraně         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elektrických </w:t>
      </w:r>
      <w:proofErr w:type="gramStart"/>
      <w:r>
        <w:rPr>
          <w:rFonts w:ascii="Courier CE" w:hAnsi="Courier CE" w:cs="Courier CE"/>
          <w:kern w:val="0"/>
          <w:sz w:val="16"/>
          <w:szCs w:val="16"/>
        </w:rPr>
        <w:t xml:space="preserve">obvodů,   </w:t>
      </w:r>
      <w:proofErr w:type="gramEnd"/>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pro napětí&gt; 1 000 V    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Baterie a akumulátory, I 27.20           I 2        I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vč. </w:t>
      </w:r>
      <w:proofErr w:type="gramStart"/>
      <w:r>
        <w:rPr>
          <w:rFonts w:ascii="Courier CE" w:hAnsi="Courier CE" w:cs="Courier CE"/>
          <w:kern w:val="0"/>
          <w:sz w:val="16"/>
          <w:szCs w:val="16"/>
        </w:rPr>
        <w:t>subdodavatelských  I</w:t>
      </w:r>
      <w:proofErr w:type="gram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p>
    <w:p w:rsidR="00B852C5" w:rsidRDefault="00B852C5">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prací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rsidR="00B852C5" w:rsidRDefault="00B852C5">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sectPr w:rsidR="00B852C5" w:rsidSect="00620188">
      <w:pgSz w:w="11907" w:h="16840"/>
      <w:pgMar w:top="1134"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altName w:val="Courier New"/>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88"/>
    <w:rsid w:val="000F7C70"/>
    <w:rsid w:val="00620188"/>
    <w:rsid w:val="008C190E"/>
    <w:rsid w:val="00B85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8B05CB-E091-4AB7-9989-2A58042F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586/1992%20Sb.%2523'&amp;ucin-k-dni='30.12.9999'" TargetMode="External"/><Relationship Id="rId18" Type="http://schemas.openxmlformats.org/officeDocument/2006/relationships/hyperlink" Target="aspi://module='ASPI'&amp;link='283/2021%20Sb.%2523'&amp;ucin-k-dni='30.12.9999'" TargetMode="External"/><Relationship Id="rId26" Type="http://schemas.openxmlformats.org/officeDocument/2006/relationships/hyperlink" Target="aspi://module='ASPI'&amp;link='183/2006%20Sb.%25235'&amp;ucin-k-dni='30.12.9999'" TargetMode="External"/><Relationship Id="rId39" Type="http://schemas.openxmlformats.org/officeDocument/2006/relationships/hyperlink" Target="aspi://module='ASPI'&amp;link='586/1992%20Sb.%252330'&amp;ucin-k-dni='30.12.9999'" TargetMode="External"/><Relationship Id="rId21" Type="http://schemas.openxmlformats.org/officeDocument/2006/relationships/hyperlink" Target="aspi://module='ASPI'&amp;link='586/1992%20Sb.%252330'&amp;ucin-k-dni='30.12.9999'" TargetMode="External"/><Relationship Id="rId34" Type="http://schemas.openxmlformats.org/officeDocument/2006/relationships/hyperlink" Target="aspi://module='ASPI'&amp;link='586/1992%20Sb.%252330b'&amp;ucin-k-dni='30.12.9999'" TargetMode="External"/><Relationship Id="rId42" Type="http://schemas.openxmlformats.org/officeDocument/2006/relationships/hyperlink" Target="aspi://module='ASPI'&amp;link='586/1992%20Sb.%252330b'&amp;ucin-k-dni='30.12.9999'" TargetMode="External"/><Relationship Id="rId7" Type="http://schemas.openxmlformats.org/officeDocument/2006/relationships/hyperlink" Target="aspi://module='ASPI'&amp;link='87/2025%20Sb.%2523'&amp;ucin-k-dni='30.12.9999'" TargetMode="External"/><Relationship Id="rId2" Type="http://schemas.openxmlformats.org/officeDocument/2006/relationships/settings" Target="settings.xml"/><Relationship Id="rId16" Type="http://schemas.openxmlformats.org/officeDocument/2006/relationships/hyperlink" Target="aspi://module='ASPI'&amp;link='586/1992%20Sb.%252326'&amp;ucin-k-dni='30.12.9999'" TargetMode="External"/><Relationship Id="rId29" Type="http://schemas.openxmlformats.org/officeDocument/2006/relationships/hyperlink" Target="aspi://module='ASPI'&amp;link='586/1992%20Sb.%2523'&amp;ucin-k-dni='30.12.9999'" TargetMode="External"/><Relationship Id="rId1" Type="http://schemas.openxmlformats.org/officeDocument/2006/relationships/styles" Target="styles.xml"/><Relationship Id="rId6" Type="http://schemas.openxmlformats.org/officeDocument/2006/relationships/hyperlink" Target="aspi://module='ASPI'&amp;link='586/1992%20Sb.%2523'&amp;ucin-k-dni='30.12.9999'" TargetMode="External"/><Relationship Id="rId11" Type="http://schemas.openxmlformats.org/officeDocument/2006/relationships/hyperlink" Target="aspi://module='ASPI'&amp;link='586/1992%20Sb.%2523'&amp;ucin-k-dni='30.12.9999'" TargetMode="External"/><Relationship Id="rId24" Type="http://schemas.openxmlformats.org/officeDocument/2006/relationships/hyperlink" Target="aspi://module='ASPI'&amp;link='586/1992%20Sb.%2523'&amp;ucin-k-dni='30.12.9999'" TargetMode="External"/><Relationship Id="rId32" Type="http://schemas.openxmlformats.org/officeDocument/2006/relationships/hyperlink" Target="aspi://module='ASPI'&amp;link='586/1992%20Sb.%252330b'&amp;ucin-k-dni='30.12.9999'" TargetMode="External"/><Relationship Id="rId37" Type="http://schemas.openxmlformats.org/officeDocument/2006/relationships/hyperlink" Target="aspi://module='ASPI'&amp;link='586/1992%20Sb.%2523'&amp;ucin-k-dni='30.12.9999'" TargetMode="External"/><Relationship Id="rId40" Type="http://schemas.openxmlformats.org/officeDocument/2006/relationships/hyperlink" Target="aspi://module='ASPI'&amp;link='586/1992%20Sb.%252335a'&amp;ucin-k-dni='30.12.9999'" TargetMode="External"/><Relationship Id="rId45" Type="http://schemas.openxmlformats.org/officeDocument/2006/relationships/fontTable" Target="fontTable.xml"/><Relationship Id="rId5" Type="http://schemas.openxmlformats.org/officeDocument/2006/relationships/hyperlink" Target="aspi://module='ASPI'&amp;link='586/1992%20Sb.%252330b'&amp;ucin-k-dni='30.12.9999'" TargetMode="External"/><Relationship Id="rId15" Type="http://schemas.openxmlformats.org/officeDocument/2006/relationships/hyperlink" Target="aspi://module='ASPI'&amp;link='586/1992%20Sb.%2523'&amp;ucin-k-dni='30.12.9999'" TargetMode="External"/><Relationship Id="rId23" Type="http://schemas.openxmlformats.org/officeDocument/2006/relationships/hyperlink" Target="aspi://module='ASPI'&amp;link='586/1992%20Sb.%2523'&amp;ucin-k-dni='30.12.9999'" TargetMode="External"/><Relationship Id="rId28" Type="http://schemas.openxmlformats.org/officeDocument/2006/relationships/hyperlink" Target="aspi://module='ASPI'&amp;link='586/1992%20Sb.%2523'&amp;ucin-k-dni='30.12.9999'" TargetMode="External"/><Relationship Id="rId36" Type="http://schemas.openxmlformats.org/officeDocument/2006/relationships/hyperlink" Target="aspi://module='ASPI'&amp;link='44604/25/7100-20110%2523'&amp;ucin-k-dni='30.12.9999'" TargetMode="External"/><Relationship Id="rId10" Type="http://schemas.openxmlformats.org/officeDocument/2006/relationships/hyperlink" Target="aspi://module='ASPI'&amp;link='586/1992%20Sb.%252330b'&amp;ucin-k-dni='30.12.9999'" TargetMode="External"/><Relationship Id="rId19" Type="http://schemas.openxmlformats.org/officeDocument/2006/relationships/hyperlink" Target="aspi://module='ASPI'&amp;link='183/2006%20Sb.%2523'&amp;ucin-k-dni='30.12.9999'" TargetMode="External"/><Relationship Id="rId31" Type="http://schemas.openxmlformats.org/officeDocument/2006/relationships/hyperlink" Target="aspi://module='ASPI'&amp;link='586/1992%20Sb.%2523'&amp;ucin-k-dni='30.12.9999'" TargetMode="External"/><Relationship Id="rId44" Type="http://schemas.openxmlformats.org/officeDocument/2006/relationships/hyperlink" Target="aspi://module='ASPI'&amp;link='586/1992%20Sb.%2523'&amp;ucin-k-dni='30.12.9999'" TargetMode="External"/><Relationship Id="rId4" Type="http://schemas.openxmlformats.org/officeDocument/2006/relationships/hyperlink" Target="aspi://module='ASPI'&amp;link='586/1992%20Sb.%252330b'&amp;ucin-k-dni='30.12.9999'" TargetMode="External"/><Relationship Id="rId9" Type="http://schemas.openxmlformats.org/officeDocument/2006/relationships/hyperlink" Target="aspi://module='ASPI'&amp;link='458/2000%20Sb.%2523'&amp;ucin-k-dni='30.12.9999'" TargetMode="External"/><Relationship Id="rId14" Type="http://schemas.openxmlformats.org/officeDocument/2006/relationships/hyperlink" Target="aspi://module='ASPI'&amp;link='586/1992%20Sb.%2523'&amp;ucin-k-dni='30.12.9999'" TargetMode="External"/><Relationship Id="rId22" Type="http://schemas.openxmlformats.org/officeDocument/2006/relationships/hyperlink" Target="aspi://module='ASPI'&amp;link='586/1992%20Sb.%252326'&amp;ucin-k-dni='30.12.9999'" TargetMode="External"/><Relationship Id="rId27" Type="http://schemas.openxmlformats.org/officeDocument/2006/relationships/hyperlink" Target="aspi://module='ASPI'&amp;link='44604/25/7100-20110%2523'&amp;ucin-k-dni='30.12.9999'" TargetMode="External"/><Relationship Id="rId30" Type="http://schemas.openxmlformats.org/officeDocument/2006/relationships/hyperlink" Target="aspi://module='ASPI'&amp;link='586/1992%20Sb.%252330'&amp;ucin-k-dni='30.12.9999'" TargetMode="External"/><Relationship Id="rId35" Type="http://schemas.openxmlformats.org/officeDocument/2006/relationships/hyperlink" Target="aspi://module='ASPI'&amp;link='586/1992%20Sb.%252330b'&amp;ucin-k-dni='30.12.9999'" TargetMode="External"/><Relationship Id="rId43" Type="http://schemas.openxmlformats.org/officeDocument/2006/relationships/hyperlink" Target="aspi://module='ASPI'&amp;link='44604/25/7100-20110%2523'&amp;ucin-k-dni='30.12.9999'" TargetMode="External"/><Relationship Id="rId8" Type="http://schemas.openxmlformats.org/officeDocument/2006/relationships/hyperlink" Target="aspi://module='ASPI'&amp;link='458/2000%20Sb.%2523'&amp;ucin-k-dni='30.12.9999'" TargetMode="External"/><Relationship Id="rId3" Type="http://schemas.openxmlformats.org/officeDocument/2006/relationships/webSettings" Target="webSettings.xml"/><Relationship Id="rId12" Type="http://schemas.openxmlformats.org/officeDocument/2006/relationships/hyperlink" Target="aspi://module='ASPI'&amp;link='586/1992%20Sb.%252330b'&amp;ucin-k-dni='30.12.9999'" TargetMode="External"/><Relationship Id="rId17" Type="http://schemas.openxmlformats.org/officeDocument/2006/relationships/hyperlink" Target="aspi://module='ASPI'&amp;link='283/2021%20Sb.%2523'&amp;ucin-k-dni='30.12.9999'" TargetMode="External"/><Relationship Id="rId25" Type="http://schemas.openxmlformats.org/officeDocument/2006/relationships/hyperlink" Target="aspi://module='ASPI'&amp;link='283/2021%20Sb.%2523'&amp;ucin-k-dni='30.12.9999'" TargetMode="External"/><Relationship Id="rId33" Type="http://schemas.openxmlformats.org/officeDocument/2006/relationships/hyperlink" Target="aspi://module='ASPI'&amp;link='586/1992%20Sb.%252330b'&amp;ucin-k-dni='30.12.9999'" TargetMode="External"/><Relationship Id="rId38" Type="http://schemas.openxmlformats.org/officeDocument/2006/relationships/hyperlink" Target="aspi://module='ASPI'&amp;link='586/1992%20Sb.%252330b'&amp;ucin-k-dni='30.12.9999'" TargetMode="External"/><Relationship Id="rId46" Type="http://schemas.openxmlformats.org/officeDocument/2006/relationships/theme" Target="theme/theme1.xml"/><Relationship Id="rId20" Type="http://schemas.openxmlformats.org/officeDocument/2006/relationships/hyperlink" Target="aspi://module='ASPI'&amp;link='586/1992%20Sb.%2523'&amp;ucin-k-dni='30.12.9999'" TargetMode="External"/><Relationship Id="rId41" Type="http://schemas.openxmlformats.org/officeDocument/2006/relationships/hyperlink" Target="aspi://module='ASPI'&amp;link='586/1992%20Sb.%252335b'&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2588</Words>
  <Characters>15275</Characters>
  <Application>Microsoft Office Word</Application>
  <DocSecurity>0</DocSecurity>
  <Lines>127</Lines>
  <Paragraphs>35</Paragraphs>
  <ScaleCrop>false</ScaleCrop>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Dvořák</dc:creator>
  <cp:keywords/>
  <dc:description/>
  <cp:lastModifiedBy>Václav Dvořák</cp:lastModifiedBy>
  <cp:revision>2</cp:revision>
  <dcterms:created xsi:type="dcterms:W3CDTF">2025-06-23T06:37:00Z</dcterms:created>
  <dcterms:modified xsi:type="dcterms:W3CDTF">2025-06-23T06:37:00Z</dcterms:modified>
</cp:coreProperties>
</file>