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94A65" w14:textId="07CDFD8F" w:rsidR="00BC19D1" w:rsidRDefault="00C735C8" w:rsidP="00C735C8">
      <w:pPr>
        <w:ind w:firstLine="567"/>
      </w:pPr>
      <w:r>
        <w:t>Daňová poradna č.</w:t>
      </w:r>
      <w:r w:rsidR="005F4A40">
        <w:t>8</w:t>
      </w:r>
    </w:p>
    <w:p w14:paraId="39735899" w14:textId="6DAB972E" w:rsidR="006D3675" w:rsidRDefault="006D3675" w:rsidP="006D3675">
      <w:pPr>
        <w:ind w:firstLine="567"/>
        <w:rPr>
          <w:rFonts w:eastAsia="Times New Roman" w:cs="Times New Roman"/>
          <w:bCs/>
          <w:kern w:val="36"/>
          <w:lang w:eastAsia="cs-CZ"/>
        </w:rPr>
      </w:pPr>
      <w:r>
        <w:t xml:space="preserve">Proběhla zpráva, že se ČR bude snažit zmírnit povinný přechod k elektromobilitě. Na jednu stranu dobrá zpráva. Na druhou nechápu, proč jsme neměli racionálnější přístup daleko dříve. Třeba už je nyní pozdě. Násilný tlak na elektromobilitu je hloupost nejvyššího řádu, která bude většinu Evropy </w:t>
      </w:r>
      <w:r w:rsidR="00190DDD">
        <w:t>(</w:t>
      </w:r>
      <w:r>
        <w:t>a nás extra</w:t>
      </w:r>
      <w:r w:rsidR="00190DDD">
        <w:t>)</w:t>
      </w:r>
      <w:r>
        <w:t xml:space="preserve"> hodně bolet, zatímco zbytek světa v čele s USA a Čínou se bud</w:t>
      </w:r>
      <w:r w:rsidR="00190DDD">
        <w:t>e</w:t>
      </w:r>
      <w:r>
        <w:t xml:space="preserve"> chechtat naší naivní hlouposti. Namítne někdo, že snad jsou ve vedení EU hlupáci?</w:t>
      </w:r>
      <w:r w:rsidR="00190DDD">
        <w:t xml:space="preserve"> Asi ne hlupáci, ale bůhví jaké mají motivy svého rozhodování. Vždyť tu politickou ubohost </w:t>
      </w:r>
      <w:r w:rsidR="00586265">
        <w:t xml:space="preserve">a neodbornost v rozhodování </w:t>
      </w:r>
      <w:r w:rsidR="00190DDD">
        <w:t>vidíme téměř denně u nás doma.</w:t>
      </w:r>
    </w:p>
    <w:p w14:paraId="358D545E" w14:textId="7CA874DB" w:rsidR="006D3675" w:rsidRDefault="00190DDD" w:rsidP="00190DDD">
      <w:pPr>
        <w:ind w:firstLine="567"/>
        <w:rPr>
          <w:rFonts w:eastAsia="Times New Roman" w:cs="Times New Roman"/>
          <w:bCs/>
          <w:kern w:val="36"/>
          <w:lang w:eastAsia="cs-CZ"/>
        </w:rPr>
      </w:pPr>
      <w:r>
        <w:rPr>
          <w:rFonts w:eastAsia="Times New Roman" w:cs="Times New Roman"/>
          <w:bCs/>
          <w:kern w:val="36"/>
          <w:lang w:eastAsia="cs-CZ"/>
        </w:rPr>
        <w:t xml:space="preserve">Dnes se pozastavím nad jednou docela starou věcí, která ale má stále divnou pachuť. Jedná se o to, zda plátci DPH musejí či nemusejí mít zveřejněný </w:t>
      </w:r>
      <w:r w:rsidR="00CA57D6">
        <w:rPr>
          <w:rFonts w:eastAsia="Times New Roman" w:cs="Times New Roman"/>
          <w:bCs/>
          <w:kern w:val="36"/>
          <w:lang w:eastAsia="cs-CZ"/>
        </w:rPr>
        <w:t xml:space="preserve">bankovní </w:t>
      </w:r>
      <w:r>
        <w:rPr>
          <w:rFonts w:eastAsia="Times New Roman" w:cs="Times New Roman"/>
          <w:bCs/>
          <w:kern w:val="36"/>
          <w:lang w:eastAsia="cs-CZ"/>
        </w:rPr>
        <w:t>účet.</w:t>
      </w:r>
      <w:r w:rsidR="00CA57D6">
        <w:rPr>
          <w:rFonts w:eastAsia="Times New Roman" w:cs="Times New Roman"/>
          <w:bCs/>
          <w:kern w:val="36"/>
          <w:lang w:eastAsia="cs-CZ"/>
        </w:rPr>
        <w:t xml:space="preserve"> Jednoznačná odpověď zní, že nemusí. </w:t>
      </w:r>
      <w:r w:rsidR="00586265">
        <w:rPr>
          <w:rFonts w:eastAsia="Times New Roman" w:cs="Times New Roman"/>
          <w:bCs/>
          <w:kern w:val="36"/>
          <w:lang w:eastAsia="cs-CZ"/>
        </w:rPr>
        <w:t xml:space="preserve">Kdo je má zveřejněné, vystavuje se zvýšenému nebezpečí jejich zneužití ze strany podvodníků. </w:t>
      </w:r>
      <w:r w:rsidR="00CA57D6">
        <w:rPr>
          <w:rFonts w:eastAsia="Times New Roman" w:cs="Times New Roman"/>
          <w:bCs/>
          <w:kern w:val="36"/>
          <w:lang w:eastAsia="cs-CZ"/>
        </w:rPr>
        <w:t>Od roku 2013 zn</w:t>
      </w:r>
      <w:r w:rsidR="00CB3C88">
        <w:rPr>
          <w:rFonts w:eastAsia="Times New Roman" w:cs="Times New Roman"/>
          <w:bCs/>
          <w:kern w:val="36"/>
          <w:lang w:eastAsia="cs-CZ"/>
        </w:rPr>
        <w:t>ějí dva odstavce</w:t>
      </w:r>
      <w:r w:rsidR="00CA57D6">
        <w:rPr>
          <w:rFonts w:eastAsia="Times New Roman" w:cs="Times New Roman"/>
          <w:bCs/>
          <w:kern w:val="36"/>
          <w:lang w:eastAsia="cs-CZ"/>
        </w:rPr>
        <w:t xml:space="preserve"> příslušn</w:t>
      </w:r>
      <w:r w:rsidR="00CB3C88">
        <w:rPr>
          <w:rFonts w:eastAsia="Times New Roman" w:cs="Times New Roman"/>
          <w:bCs/>
          <w:kern w:val="36"/>
          <w:lang w:eastAsia="cs-CZ"/>
        </w:rPr>
        <w:t>ého</w:t>
      </w:r>
      <w:r w:rsidR="00CA57D6">
        <w:rPr>
          <w:rFonts w:eastAsia="Times New Roman" w:cs="Times New Roman"/>
          <w:bCs/>
          <w:kern w:val="36"/>
          <w:lang w:eastAsia="cs-CZ"/>
        </w:rPr>
        <w:t xml:space="preserve"> §96 takto:</w:t>
      </w:r>
    </w:p>
    <w:p w14:paraId="0AB59F92" w14:textId="77777777" w:rsidR="00CA57D6" w:rsidRPr="00CA57D6" w:rsidRDefault="00CA57D6" w:rsidP="00CA57D6">
      <w:pPr>
        <w:ind w:firstLine="567"/>
        <w:rPr>
          <w:rFonts w:eastAsia="Times New Roman" w:cs="Times New Roman"/>
          <w:bCs/>
          <w:i/>
          <w:iCs/>
          <w:kern w:val="36"/>
          <w:lang w:eastAsia="cs-CZ"/>
        </w:rPr>
      </w:pPr>
      <w:r w:rsidRPr="00CA57D6">
        <w:rPr>
          <w:rFonts w:eastAsia="Times New Roman" w:cs="Times New Roman"/>
          <w:bCs/>
          <w:i/>
          <w:iCs/>
          <w:kern w:val="36"/>
          <w:lang w:eastAsia="cs-CZ"/>
        </w:rPr>
        <w:t>(1) V přihlášce k registraci plátce je osoba povinná k dani povinna uvést také čísla všech svých účtů u poskytovatelů platebních služeb, pokud jsou používány pro ekonomickou činnost.</w:t>
      </w:r>
    </w:p>
    <w:p w14:paraId="2CA5764F" w14:textId="4FBDB9CF" w:rsidR="00CA57D6" w:rsidRPr="00CA57D6" w:rsidRDefault="00CA57D6" w:rsidP="00CA57D6">
      <w:pPr>
        <w:ind w:firstLine="567"/>
        <w:rPr>
          <w:rFonts w:eastAsia="Times New Roman" w:cs="Times New Roman"/>
          <w:bCs/>
          <w:i/>
          <w:iCs/>
          <w:kern w:val="36"/>
          <w:lang w:eastAsia="cs-CZ"/>
        </w:rPr>
      </w:pPr>
      <w:r w:rsidRPr="00CA57D6">
        <w:rPr>
          <w:rFonts w:eastAsia="Times New Roman" w:cs="Times New Roman"/>
          <w:bCs/>
          <w:i/>
          <w:iCs/>
          <w:kern w:val="36"/>
          <w:lang w:eastAsia="cs-CZ"/>
        </w:rPr>
        <w:t xml:space="preserve"> (2) Osoba povinná k dani je oprávněna určit, která čísla účtů podle odstavce 1 budou zveřejněna způsobem umožňujícím dálkový přístup.</w:t>
      </w:r>
    </w:p>
    <w:p w14:paraId="3C8E1DD1" w14:textId="0BCB044B" w:rsidR="00CA57D6" w:rsidRDefault="00CA57D6" w:rsidP="00CA57D6">
      <w:pPr>
        <w:ind w:firstLine="567"/>
        <w:rPr>
          <w:rFonts w:eastAsia="Times New Roman" w:cs="Times New Roman"/>
          <w:bCs/>
          <w:kern w:val="36"/>
          <w:lang w:eastAsia="cs-CZ"/>
        </w:rPr>
      </w:pPr>
      <w:r>
        <w:rPr>
          <w:rFonts w:eastAsia="Times New Roman" w:cs="Times New Roman"/>
          <w:bCs/>
          <w:kern w:val="36"/>
          <w:lang w:eastAsia="cs-CZ"/>
        </w:rPr>
        <w:t xml:space="preserve">Plátce je tedy </w:t>
      </w:r>
      <w:r w:rsidRPr="00CA57D6">
        <w:rPr>
          <w:rFonts w:eastAsia="Times New Roman" w:cs="Times New Roman"/>
          <w:bCs/>
          <w:kern w:val="36"/>
          <w:u w:val="single"/>
          <w:lang w:eastAsia="cs-CZ"/>
        </w:rPr>
        <w:t>povinen</w:t>
      </w:r>
      <w:r>
        <w:rPr>
          <w:rFonts w:eastAsia="Times New Roman" w:cs="Times New Roman"/>
          <w:bCs/>
          <w:kern w:val="36"/>
          <w:lang w:eastAsia="cs-CZ"/>
        </w:rPr>
        <w:t xml:space="preserve"> správci daně </w:t>
      </w:r>
      <w:r w:rsidRPr="00CB3C88">
        <w:rPr>
          <w:rFonts w:eastAsia="Times New Roman" w:cs="Times New Roman"/>
          <w:bCs/>
          <w:kern w:val="36"/>
          <w:u w:val="single"/>
          <w:lang w:eastAsia="cs-CZ"/>
        </w:rPr>
        <w:t>oznámit</w:t>
      </w:r>
      <w:r>
        <w:rPr>
          <w:rFonts w:eastAsia="Times New Roman" w:cs="Times New Roman"/>
          <w:bCs/>
          <w:kern w:val="36"/>
          <w:lang w:eastAsia="cs-CZ"/>
        </w:rPr>
        <w:t xml:space="preserve"> čísla svých bankovních účtů, které využívá k ekonomické činnosti. Dle druhého odstavce </w:t>
      </w:r>
      <w:r w:rsidRPr="00CA57D6">
        <w:rPr>
          <w:rFonts w:eastAsia="Times New Roman" w:cs="Times New Roman"/>
          <w:bCs/>
          <w:kern w:val="36"/>
          <w:u w:val="single"/>
          <w:lang w:eastAsia="cs-CZ"/>
        </w:rPr>
        <w:t>má právo</w:t>
      </w:r>
      <w:r>
        <w:rPr>
          <w:rFonts w:eastAsia="Times New Roman" w:cs="Times New Roman"/>
          <w:bCs/>
          <w:kern w:val="36"/>
          <w:lang w:eastAsia="cs-CZ"/>
        </w:rPr>
        <w:t xml:space="preserve"> (není to povinnost) určit, že některé z těchto účtů budou </w:t>
      </w:r>
      <w:r w:rsidRPr="00CB3C88">
        <w:rPr>
          <w:rFonts w:eastAsia="Times New Roman" w:cs="Times New Roman"/>
          <w:bCs/>
          <w:kern w:val="36"/>
          <w:u w:val="single"/>
          <w:lang w:eastAsia="cs-CZ"/>
        </w:rPr>
        <w:t>zveřejněny</w:t>
      </w:r>
      <w:r>
        <w:rPr>
          <w:rFonts w:eastAsia="Times New Roman" w:cs="Times New Roman"/>
          <w:bCs/>
          <w:kern w:val="36"/>
          <w:lang w:eastAsia="cs-CZ"/>
        </w:rPr>
        <w:t xml:space="preserve"> na stránkách finanční správy.</w:t>
      </w:r>
    </w:p>
    <w:p w14:paraId="067057EA" w14:textId="3ABC1EB0" w:rsidR="00CA57D6" w:rsidRDefault="00CA57D6" w:rsidP="00CA57D6">
      <w:pPr>
        <w:ind w:firstLine="567"/>
        <w:rPr>
          <w:rFonts w:eastAsia="Times New Roman" w:cs="Times New Roman"/>
          <w:bCs/>
          <w:kern w:val="36"/>
          <w:lang w:eastAsia="cs-CZ"/>
        </w:rPr>
      </w:pPr>
      <w:r>
        <w:rPr>
          <w:rFonts w:eastAsia="Times New Roman" w:cs="Times New Roman"/>
          <w:bCs/>
          <w:kern w:val="36"/>
          <w:lang w:eastAsia="cs-CZ"/>
        </w:rPr>
        <w:t>Případné nezveřejnění účtů může mít dopad do ručení za daň, kterou plátcův dodavatel případně neodvede. §109/2/c ZDPH říká, že příjemce plnění ručí za neodvedenou daň, pokud dodavateli zaplatí na nezveřejněný účet více než dvojnásobek povolené platby v hotovosti (tedy více než 540 tis Kč). Je-li platb</w:t>
      </w:r>
      <w:r w:rsidR="00CB3C88">
        <w:rPr>
          <w:rFonts w:eastAsia="Times New Roman" w:cs="Times New Roman"/>
          <w:bCs/>
          <w:kern w:val="36"/>
          <w:lang w:eastAsia="cs-CZ"/>
        </w:rPr>
        <w:t>a</w:t>
      </w:r>
      <w:r>
        <w:rPr>
          <w:rFonts w:eastAsia="Times New Roman" w:cs="Times New Roman"/>
          <w:bCs/>
          <w:kern w:val="36"/>
          <w:lang w:eastAsia="cs-CZ"/>
        </w:rPr>
        <w:t xml:space="preserve"> na nezveřejněný účet do této částky, ani teoreticky ručení nevzniká. Pokud platba tuto částku přesáhne, tak sice dle textu zákona ručení vzniká, ale judikatura to zpřesňuje. Říká, že ke vzniku ručení je navíc potřeba splnit podmínku z §109/1 ZDPH. Zjednodušeně řečeno by plátce</w:t>
      </w:r>
      <w:r w:rsidR="00CB3C88">
        <w:rPr>
          <w:rFonts w:eastAsia="Times New Roman" w:cs="Times New Roman"/>
          <w:bCs/>
          <w:kern w:val="36"/>
          <w:lang w:eastAsia="cs-CZ"/>
        </w:rPr>
        <w:t xml:space="preserve"> musel</w:t>
      </w:r>
      <w:r>
        <w:rPr>
          <w:rFonts w:eastAsia="Times New Roman" w:cs="Times New Roman"/>
          <w:bCs/>
          <w:kern w:val="36"/>
          <w:lang w:eastAsia="cs-CZ"/>
        </w:rPr>
        <w:t xml:space="preserve"> „vědě</w:t>
      </w:r>
      <w:r w:rsidR="00CB3C88">
        <w:rPr>
          <w:rFonts w:eastAsia="Times New Roman" w:cs="Times New Roman"/>
          <w:bCs/>
          <w:kern w:val="36"/>
          <w:lang w:eastAsia="cs-CZ"/>
        </w:rPr>
        <w:t>t</w:t>
      </w:r>
      <w:r>
        <w:rPr>
          <w:rFonts w:eastAsia="Times New Roman" w:cs="Times New Roman"/>
          <w:bCs/>
          <w:kern w:val="36"/>
          <w:lang w:eastAsia="cs-CZ"/>
        </w:rPr>
        <w:t>, nebo vědět měl a mohl“, že jeho dodavatel daň neodvede.</w:t>
      </w:r>
      <w:r w:rsidR="00C416D5">
        <w:rPr>
          <w:rFonts w:eastAsia="Times New Roman" w:cs="Times New Roman"/>
          <w:bCs/>
          <w:kern w:val="36"/>
          <w:lang w:eastAsia="cs-CZ"/>
        </w:rPr>
        <w:t xml:space="preserve"> K tomu ale ještě dodám, že pokud se plátce opravdu ručitelem stane, tak se na něj správce daně nemůže rovnou obrátit s výzvou k úhradě za nezaplacenou daň. Nejprve musí správce daně (neúspěšně) vymáhat daň na dodavateli, tedy skutečném dlužníkovi. Navíc by musel správce daně prokázat, že dlužná daň pochází právě z plnění vůči plátci, po kterém chce daň jako ručiteli uhradit.</w:t>
      </w:r>
    </w:p>
    <w:p w14:paraId="6DB5C15D" w14:textId="05B2445D" w:rsidR="00C416D5" w:rsidRDefault="00C416D5" w:rsidP="00CA57D6">
      <w:pPr>
        <w:ind w:firstLine="567"/>
        <w:rPr>
          <w:rFonts w:eastAsia="Times New Roman" w:cs="Times New Roman"/>
          <w:bCs/>
          <w:kern w:val="36"/>
          <w:lang w:eastAsia="cs-CZ"/>
        </w:rPr>
      </w:pPr>
      <w:r>
        <w:rPr>
          <w:rFonts w:eastAsia="Times New Roman" w:cs="Times New Roman"/>
          <w:bCs/>
          <w:kern w:val="36"/>
          <w:lang w:eastAsia="cs-CZ"/>
        </w:rPr>
        <w:t xml:space="preserve">V praxi se můžeme setkat s požadavkem odběratelů, aby jim dodavatelé dávali k platbě zveřejněný účet. Na takový požadavek mají odběratelé právo jenom tehdy, pokud si to </w:t>
      </w:r>
      <w:r w:rsidR="00CB3C88">
        <w:rPr>
          <w:rFonts w:eastAsia="Times New Roman" w:cs="Times New Roman"/>
          <w:bCs/>
          <w:kern w:val="36"/>
          <w:lang w:eastAsia="cs-CZ"/>
        </w:rPr>
        <w:t xml:space="preserve">smluvně </w:t>
      </w:r>
      <w:r>
        <w:rPr>
          <w:rFonts w:eastAsia="Times New Roman" w:cs="Times New Roman"/>
          <w:bCs/>
          <w:kern w:val="36"/>
          <w:lang w:eastAsia="cs-CZ"/>
        </w:rPr>
        <w:t>ujednali. Pokud to nebylo ujednáno, musí odběratel uhradit dluh na účet uvedený na faktuře. Pokud má odběratel důvodné pochybnosti o tom, že dodavatel daň uhradí, a přesahuje-li platba částku 540 tis Kč, může využít §109a</w:t>
      </w:r>
      <w:r w:rsidR="00CB3C88">
        <w:rPr>
          <w:rFonts w:eastAsia="Times New Roman" w:cs="Times New Roman"/>
          <w:bCs/>
          <w:kern w:val="36"/>
          <w:lang w:eastAsia="cs-CZ"/>
        </w:rPr>
        <w:t xml:space="preserve"> ZDPH</w:t>
      </w:r>
      <w:r>
        <w:rPr>
          <w:rFonts w:eastAsia="Times New Roman" w:cs="Times New Roman"/>
          <w:bCs/>
          <w:kern w:val="36"/>
          <w:lang w:eastAsia="cs-CZ"/>
        </w:rPr>
        <w:t>. Toto ustanovení odběrateli umožňuje rozdělit platbu, základ daně uhradí dodavateli a daň jeho správci daně. Zákon to sice neukládá, ale je minimálně slušné takovou situaci dodavateli oznámit.</w:t>
      </w:r>
    </w:p>
    <w:p w14:paraId="22F55BFC" w14:textId="709822B4" w:rsidR="00CB3C88" w:rsidRDefault="00CB3C88" w:rsidP="00CA57D6">
      <w:pPr>
        <w:ind w:firstLine="567"/>
        <w:rPr>
          <w:rFonts w:eastAsia="Times New Roman" w:cs="Times New Roman"/>
          <w:bCs/>
          <w:kern w:val="36"/>
          <w:lang w:eastAsia="cs-CZ"/>
        </w:rPr>
      </w:pPr>
      <w:r>
        <w:rPr>
          <w:rFonts w:eastAsia="Times New Roman" w:cs="Times New Roman"/>
          <w:bCs/>
          <w:kern w:val="36"/>
          <w:lang w:eastAsia="cs-CZ"/>
        </w:rPr>
        <w:t>Máme březen, den se prodlužuje, teplé jaro jistě zanedlouho dorazí. Tak s chutí do práce.</w:t>
      </w:r>
    </w:p>
    <w:p w14:paraId="2D330864" w14:textId="12EC33A1" w:rsidR="00071F31" w:rsidRDefault="001D3ACC" w:rsidP="007B539F">
      <w:pPr>
        <w:ind w:firstLine="567"/>
      </w:pPr>
      <w:r>
        <w:tab/>
      </w:r>
      <w:r>
        <w:tab/>
      </w:r>
      <w:r>
        <w:tab/>
      </w:r>
      <w:r>
        <w:tab/>
      </w:r>
      <w:r>
        <w:tab/>
      </w:r>
      <w:r>
        <w:tab/>
      </w:r>
      <w:r>
        <w:tab/>
        <w:t>Ing. Václav Dvořák MBA</w:t>
      </w:r>
    </w:p>
    <w:sectPr w:rsidR="00071F31" w:rsidSect="00192B56">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164D"/>
    <w:multiLevelType w:val="hybridMultilevel"/>
    <w:tmpl w:val="7E422F48"/>
    <w:lvl w:ilvl="0" w:tplc="04050009">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24F86474"/>
    <w:multiLevelType w:val="hybridMultilevel"/>
    <w:tmpl w:val="347E26E2"/>
    <w:lvl w:ilvl="0" w:tplc="D9FC2E14">
      <w:numFmt w:val="bullet"/>
      <w:lvlText w:val="-"/>
      <w:lvlJc w:val="left"/>
      <w:pPr>
        <w:ind w:left="927" w:hanging="360"/>
      </w:pPr>
      <w:rPr>
        <w:rFonts w:ascii="Calibri" w:eastAsiaTheme="minorHAns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420E5A44"/>
    <w:multiLevelType w:val="hybridMultilevel"/>
    <w:tmpl w:val="32B6C652"/>
    <w:lvl w:ilvl="0" w:tplc="BF42DDBE">
      <w:start w:val="1"/>
      <w:numFmt w:val="bullet"/>
      <w:lvlText w:val="-"/>
      <w:lvlJc w:val="left"/>
      <w:pPr>
        <w:ind w:left="1854" w:hanging="360"/>
      </w:pPr>
      <w:rPr>
        <w:rFonts w:ascii="Times New Roman" w:eastAsia="Times New Roman" w:hAnsi="Times New Roman" w:cs="Times New Roman"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num w:numId="1" w16cid:durableId="2094424653">
    <w:abstractNumId w:val="1"/>
  </w:num>
  <w:num w:numId="2" w16cid:durableId="113135499">
    <w:abstractNumId w:val="0"/>
  </w:num>
  <w:num w:numId="3" w16cid:durableId="939526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C8"/>
    <w:rsid w:val="000325BD"/>
    <w:rsid w:val="00071F31"/>
    <w:rsid w:val="000806A1"/>
    <w:rsid w:val="000F3977"/>
    <w:rsid w:val="0011505D"/>
    <w:rsid w:val="00186DC8"/>
    <w:rsid w:val="00190DDD"/>
    <w:rsid w:val="00192B56"/>
    <w:rsid w:val="001B25B5"/>
    <w:rsid w:val="001C2693"/>
    <w:rsid w:val="001D3ACC"/>
    <w:rsid w:val="00232C72"/>
    <w:rsid w:val="00275F7A"/>
    <w:rsid w:val="0028599A"/>
    <w:rsid w:val="002C513D"/>
    <w:rsid w:val="002F0EC8"/>
    <w:rsid w:val="00337560"/>
    <w:rsid w:val="00381D25"/>
    <w:rsid w:val="003D47E1"/>
    <w:rsid w:val="00433859"/>
    <w:rsid w:val="00496BB4"/>
    <w:rsid w:val="004C45F5"/>
    <w:rsid w:val="00504296"/>
    <w:rsid w:val="005104F6"/>
    <w:rsid w:val="00525B78"/>
    <w:rsid w:val="00550778"/>
    <w:rsid w:val="00586265"/>
    <w:rsid w:val="005F4A40"/>
    <w:rsid w:val="006206C6"/>
    <w:rsid w:val="006441AB"/>
    <w:rsid w:val="006C67E0"/>
    <w:rsid w:val="006C7BB8"/>
    <w:rsid w:val="006D3675"/>
    <w:rsid w:val="00774CEA"/>
    <w:rsid w:val="007B539F"/>
    <w:rsid w:val="007F756C"/>
    <w:rsid w:val="00801D19"/>
    <w:rsid w:val="008714CB"/>
    <w:rsid w:val="008B0E5E"/>
    <w:rsid w:val="008B58A7"/>
    <w:rsid w:val="00950931"/>
    <w:rsid w:val="00995D5A"/>
    <w:rsid w:val="009C5530"/>
    <w:rsid w:val="009D62FB"/>
    <w:rsid w:val="00A01011"/>
    <w:rsid w:val="00AA3EF8"/>
    <w:rsid w:val="00AA484C"/>
    <w:rsid w:val="00AB3BED"/>
    <w:rsid w:val="00B969DB"/>
    <w:rsid w:val="00BC19D1"/>
    <w:rsid w:val="00BF6C39"/>
    <w:rsid w:val="00C053FD"/>
    <w:rsid w:val="00C05FD8"/>
    <w:rsid w:val="00C416D5"/>
    <w:rsid w:val="00C735C8"/>
    <w:rsid w:val="00C81558"/>
    <w:rsid w:val="00C850E9"/>
    <w:rsid w:val="00CA57D6"/>
    <w:rsid w:val="00CB3C88"/>
    <w:rsid w:val="00D31C21"/>
    <w:rsid w:val="00D52EEA"/>
    <w:rsid w:val="00D84417"/>
    <w:rsid w:val="00D931C8"/>
    <w:rsid w:val="00DC2EBE"/>
    <w:rsid w:val="00E116A9"/>
    <w:rsid w:val="00E86B3C"/>
    <w:rsid w:val="00E92071"/>
    <w:rsid w:val="00ED4C02"/>
    <w:rsid w:val="00F15CD1"/>
    <w:rsid w:val="00F35655"/>
    <w:rsid w:val="00F52492"/>
    <w:rsid w:val="00F97F85"/>
    <w:rsid w:val="00FE43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7C157"/>
  <w15:chartTrackingRefBased/>
  <w15:docId w15:val="{B4FF1CE3-2E16-479D-80C1-94B5B035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735C8"/>
    <w:pPr>
      <w:ind w:left="720"/>
      <w:contextualSpacing/>
    </w:pPr>
  </w:style>
  <w:style w:type="character" w:styleId="Hypertextovodkaz">
    <w:name w:val="Hyperlink"/>
    <w:basedOn w:val="Standardnpsmoodstavce"/>
    <w:uiPriority w:val="99"/>
    <w:unhideWhenUsed/>
    <w:rsid w:val="00AA3EF8"/>
    <w:rPr>
      <w:color w:val="0563C1" w:themeColor="hyperlink"/>
      <w:u w:val="single"/>
    </w:rPr>
  </w:style>
  <w:style w:type="character" w:styleId="Nevyeenzmnka">
    <w:name w:val="Unresolved Mention"/>
    <w:basedOn w:val="Standardnpsmoodstavce"/>
    <w:uiPriority w:val="99"/>
    <w:semiHidden/>
    <w:unhideWhenUsed/>
    <w:rsid w:val="00AA3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474</Words>
  <Characters>2798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Dvořák</dc:creator>
  <cp:keywords/>
  <dc:description/>
  <cp:lastModifiedBy>Václav Dvořák</cp:lastModifiedBy>
  <cp:revision>5</cp:revision>
  <dcterms:created xsi:type="dcterms:W3CDTF">2023-03-05T07:50:00Z</dcterms:created>
  <dcterms:modified xsi:type="dcterms:W3CDTF">2023-03-05T11:09:00Z</dcterms:modified>
</cp:coreProperties>
</file>