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94A65" w14:textId="54ADFC8B" w:rsidR="00BC19D1" w:rsidRDefault="00C735C8" w:rsidP="00C735C8">
      <w:pPr>
        <w:ind w:firstLine="567"/>
      </w:pPr>
      <w:r>
        <w:t>Daňová poradna č.</w:t>
      </w:r>
      <w:r w:rsidR="00232C72">
        <w:t>7</w:t>
      </w:r>
    </w:p>
    <w:p w14:paraId="39735899" w14:textId="65D669EB" w:rsidR="00AA3EF8" w:rsidRDefault="001B25B5" w:rsidP="001B25B5">
      <w:pPr>
        <w:ind w:firstLine="567"/>
        <w:rPr>
          <w:rFonts w:eastAsia="Times New Roman" w:cs="Times New Roman"/>
          <w:bCs/>
          <w:kern w:val="36"/>
          <w:lang w:eastAsia="cs-CZ"/>
        </w:rPr>
      </w:pPr>
      <w:r>
        <w:t>P</w:t>
      </w:r>
      <w:r w:rsidR="005104F6">
        <w:t xml:space="preserve">olitickou scénou momentálně rezonuje spor o snížení blížící se valorizace důchodů. Kdo má pravdu? Obávám se, že nikdo. Je pravda, že zadlužování českého státu je děsivě rychlé. Neuznávám frázovité výroky o nároku na „důstojný život“. Máme totiž </w:t>
      </w:r>
      <w:r w:rsidR="00D84417">
        <w:t>„</w:t>
      </w:r>
      <w:r w:rsidR="005104F6">
        <w:t>nárok</w:t>
      </w:r>
      <w:r w:rsidR="00D84417">
        <w:t>“</w:t>
      </w:r>
      <w:r w:rsidR="005104F6">
        <w:t xml:space="preserve"> jen na takový život, na který si umíme </w:t>
      </w:r>
      <w:r w:rsidR="00D84417">
        <w:t xml:space="preserve">jako stát </w:t>
      </w:r>
      <w:r w:rsidR="005104F6">
        <w:t xml:space="preserve">vydělat. </w:t>
      </w:r>
      <w:r w:rsidR="00F97F85">
        <w:t xml:space="preserve">Německý důchodce </w:t>
      </w:r>
      <w:r w:rsidR="00D84417">
        <w:t>má</w:t>
      </w:r>
      <w:r w:rsidR="00F97F85">
        <w:t xml:space="preserve"> vyšší</w:t>
      </w:r>
      <w:r w:rsidR="00D84417">
        <w:t xml:space="preserve"> životní</w:t>
      </w:r>
      <w:r w:rsidR="00F97F85">
        <w:t xml:space="preserve"> standard než důchodce z</w:t>
      </w:r>
      <w:r w:rsidR="00D84417">
        <w:t> </w:t>
      </w:r>
      <w:r w:rsidR="00F97F85">
        <w:t>Albánie</w:t>
      </w:r>
      <w:r w:rsidR="00D84417">
        <w:t xml:space="preserve"> a snad každému to přijde </w:t>
      </w:r>
      <w:r w:rsidR="00496BB4">
        <w:t>přiroze</w:t>
      </w:r>
      <w:r w:rsidR="00D84417">
        <w:t>né</w:t>
      </w:r>
      <w:r w:rsidR="00F97F85">
        <w:t xml:space="preserve">. </w:t>
      </w:r>
      <w:r w:rsidR="00496BB4">
        <w:t>Nárok na</w:t>
      </w:r>
      <w:r w:rsidR="00F97F85">
        <w:t xml:space="preserve"> důstojnost</w:t>
      </w:r>
      <w:r w:rsidR="00496BB4">
        <w:t xml:space="preserve"> na dluh</w:t>
      </w:r>
      <w:r w:rsidR="00F97F85">
        <w:t xml:space="preserve"> neexistuje. Kdo chce tyto pravdy popírat, je </w:t>
      </w:r>
      <w:r w:rsidR="002C513D">
        <w:t>trouba</w:t>
      </w:r>
      <w:r w:rsidR="00F97F85">
        <w:t xml:space="preserve"> nebo politický manipulátor. Nicméně vláda dělá své kroky nemotorně, nesystémově, </w:t>
      </w:r>
      <w:r w:rsidR="00496BB4">
        <w:t xml:space="preserve">nyní </w:t>
      </w:r>
      <w:r w:rsidR="00F97F85">
        <w:t>možná</w:t>
      </w:r>
      <w:r w:rsidR="00496BB4">
        <w:t xml:space="preserve"> i</w:t>
      </w:r>
      <w:r w:rsidR="00F97F85">
        <w:t xml:space="preserve"> protiústavně. </w:t>
      </w:r>
      <w:r w:rsidR="00496BB4">
        <w:t xml:space="preserve">Současná koalice </w:t>
      </w:r>
      <w:r w:rsidR="00F97F85">
        <w:t>začíná vyrábět nového Babiše, stejně jako sv</w:t>
      </w:r>
      <w:r w:rsidR="00496BB4">
        <w:t xml:space="preserve">ým dřívějším stylem politiky </w:t>
      </w:r>
      <w:r w:rsidR="00F97F85">
        <w:t>vyrobila toho prvního.</w:t>
      </w:r>
      <w:r>
        <w:rPr>
          <w:rFonts w:eastAsia="Times New Roman" w:cs="Times New Roman"/>
          <w:bCs/>
          <w:kern w:val="36"/>
          <w:lang w:eastAsia="cs-CZ"/>
        </w:rPr>
        <w:t xml:space="preserve"> </w:t>
      </w:r>
      <w:r w:rsidR="00232C72">
        <w:rPr>
          <w:rFonts w:eastAsia="Times New Roman" w:cs="Times New Roman"/>
          <w:bCs/>
          <w:kern w:val="36"/>
          <w:lang w:eastAsia="cs-CZ"/>
        </w:rPr>
        <w:t>Dnešní poradnu věnujeme několika otázkám a odpovědím.</w:t>
      </w:r>
    </w:p>
    <w:p w14:paraId="1C09D56F" w14:textId="0F385608" w:rsidR="001B25B5" w:rsidRDefault="001B25B5" w:rsidP="001B25B5">
      <w:pPr>
        <w:ind w:firstLine="567"/>
        <w:rPr>
          <w:rFonts w:eastAsia="Times New Roman" w:cs="Times New Roman"/>
          <w:bCs/>
          <w:kern w:val="36"/>
          <w:lang w:eastAsia="cs-CZ"/>
        </w:rPr>
      </w:pPr>
      <w:r w:rsidRPr="000325BD">
        <w:rPr>
          <w:rFonts w:eastAsia="Times New Roman" w:cs="Times New Roman"/>
          <w:b/>
          <w:kern w:val="36"/>
          <w:lang w:eastAsia="cs-CZ"/>
        </w:rPr>
        <w:t>Otázka</w:t>
      </w:r>
      <w:r>
        <w:rPr>
          <w:rFonts w:eastAsia="Times New Roman" w:cs="Times New Roman"/>
          <w:bCs/>
          <w:kern w:val="36"/>
          <w:lang w:eastAsia="cs-CZ"/>
        </w:rPr>
        <w:t>: Pokud podám pozdě KH, ale dříve, než mi dá výzvu k jeho podání správce daně, hrozí mi pokuta 1 tis Kč. Za jedno porušení za rok pokutu nedostanu. Když udělám tento prohřešek za rok 2x, dostanu pokutu 2 tis Kč?</w:t>
      </w:r>
    </w:p>
    <w:p w14:paraId="21312D16" w14:textId="6476DA99" w:rsidR="001B25B5" w:rsidRDefault="001B25B5" w:rsidP="001B25B5">
      <w:pPr>
        <w:ind w:firstLine="567"/>
        <w:rPr>
          <w:rFonts w:eastAsia="Times New Roman" w:cs="Times New Roman"/>
          <w:bCs/>
          <w:kern w:val="36"/>
          <w:lang w:eastAsia="cs-CZ"/>
        </w:rPr>
      </w:pPr>
      <w:r w:rsidRPr="000325BD">
        <w:rPr>
          <w:rFonts w:eastAsia="Times New Roman" w:cs="Times New Roman"/>
          <w:b/>
          <w:kern w:val="36"/>
          <w:lang w:eastAsia="cs-CZ"/>
        </w:rPr>
        <w:t>Odpověď</w:t>
      </w:r>
      <w:r>
        <w:rPr>
          <w:rFonts w:eastAsia="Times New Roman" w:cs="Times New Roman"/>
          <w:bCs/>
          <w:kern w:val="36"/>
          <w:lang w:eastAsia="cs-CZ"/>
        </w:rPr>
        <w:t xml:space="preserve">: Ano, je to tak. Nicméně od letoška můžete využít malou chytristiku. Když se vám to stane podruhé, tak si počkejte na výzvu od správce daně. </w:t>
      </w:r>
      <w:r w:rsidR="00A01011">
        <w:rPr>
          <w:rFonts w:eastAsia="Times New Roman" w:cs="Times New Roman"/>
          <w:bCs/>
          <w:kern w:val="36"/>
          <w:lang w:eastAsia="cs-CZ"/>
        </w:rPr>
        <w:t xml:space="preserve">V takovém případě (pokud pak podáte KH ve lhůtě stanovené ve výzvě) </w:t>
      </w:r>
      <w:r>
        <w:rPr>
          <w:rFonts w:eastAsia="Times New Roman" w:cs="Times New Roman"/>
          <w:bCs/>
          <w:kern w:val="36"/>
          <w:lang w:eastAsia="cs-CZ"/>
        </w:rPr>
        <w:t xml:space="preserve">vám </w:t>
      </w:r>
      <w:r w:rsidR="00A01011">
        <w:rPr>
          <w:rFonts w:eastAsia="Times New Roman" w:cs="Times New Roman"/>
          <w:bCs/>
          <w:kern w:val="36"/>
          <w:lang w:eastAsia="cs-CZ"/>
        </w:rPr>
        <w:t xml:space="preserve">hrozí </w:t>
      </w:r>
      <w:r>
        <w:rPr>
          <w:rFonts w:eastAsia="Times New Roman" w:cs="Times New Roman"/>
          <w:bCs/>
          <w:kern w:val="36"/>
          <w:lang w:eastAsia="cs-CZ"/>
        </w:rPr>
        <w:t xml:space="preserve">pokuta 10 tis Kč. Pokud se ale tato situace stane také jen jednou za rok, tak </w:t>
      </w:r>
      <w:r w:rsidR="00A01011">
        <w:rPr>
          <w:rFonts w:eastAsia="Times New Roman" w:cs="Times New Roman"/>
          <w:bCs/>
          <w:kern w:val="36"/>
          <w:lang w:eastAsia="cs-CZ"/>
        </w:rPr>
        <w:t>ani tuto pokutu nedostanete. Nesmí se to ale v daném roce opakovat!</w:t>
      </w:r>
    </w:p>
    <w:p w14:paraId="77379B81" w14:textId="292DA40E" w:rsidR="001B25B5" w:rsidRDefault="001B25B5" w:rsidP="001B25B5">
      <w:pPr>
        <w:ind w:firstLine="567"/>
        <w:rPr>
          <w:rFonts w:eastAsia="Times New Roman" w:cs="Times New Roman"/>
          <w:bCs/>
          <w:kern w:val="36"/>
          <w:lang w:eastAsia="cs-CZ"/>
        </w:rPr>
      </w:pPr>
      <w:r w:rsidRPr="000325BD">
        <w:rPr>
          <w:rFonts w:eastAsia="Times New Roman" w:cs="Times New Roman"/>
          <w:b/>
          <w:kern w:val="36"/>
          <w:lang w:eastAsia="cs-CZ"/>
        </w:rPr>
        <w:t>Otázka</w:t>
      </w:r>
      <w:r>
        <w:rPr>
          <w:rFonts w:eastAsia="Times New Roman" w:cs="Times New Roman"/>
          <w:bCs/>
          <w:kern w:val="36"/>
          <w:lang w:eastAsia="cs-CZ"/>
        </w:rPr>
        <w:t>:</w:t>
      </w:r>
      <w:r w:rsidR="00A01011">
        <w:rPr>
          <w:rFonts w:eastAsia="Times New Roman" w:cs="Times New Roman"/>
          <w:bCs/>
          <w:kern w:val="36"/>
          <w:lang w:eastAsia="cs-CZ"/>
        </w:rPr>
        <w:t xml:space="preserve"> Firma chce </w:t>
      </w:r>
      <w:r w:rsidR="000F3977">
        <w:rPr>
          <w:rFonts w:eastAsia="Times New Roman" w:cs="Times New Roman"/>
          <w:bCs/>
          <w:kern w:val="36"/>
          <w:lang w:eastAsia="cs-CZ"/>
        </w:rPr>
        <w:t xml:space="preserve">na určitý čas </w:t>
      </w:r>
      <w:r w:rsidR="00A01011">
        <w:rPr>
          <w:rFonts w:eastAsia="Times New Roman" w:cs="Times New Roman"/>
          <w:bCs/>
          <w:kern w:val="36"/>
          <w:lang w:eastAsia="cs-CZ"/>
        </w:rPr>
        <w:t>pronajmout vozidlo. Jak má stanovit výši nájemného?</w:t>
      </w:r>
    </w:p>
    <w:p w14:paraId="2B5598E7" w14:textId="2484CA15" w:rsidR="001B25B5" w:rsidRDefault="001B25B5" w:rsidP="001B25B5">
      <w:pPr>
        <w:ind w:firstLine="567"/>
        <w:rPr>
          <w:rFonts w:eastAsia="Times New Roman" w:cs="Times New Roman"/>
          <w:bCs/>
          <w:kern w:val="36"/>
          <w:lang w:eastAsia="cs-CZ"/>
        </w:rPr>
      </w:pPr>
      <w:r w:rsidRPr="000325BD">
        <w:rPr>
          <w:rFonts w:eastAsia="Times New Roman" w:cs="Times New Roman"/>
          <w:b/>
          <w:kern w:val="36"/>
          <w:lang w:eastAsia="cs-CZ"/>
        </w:rPr>
        <w:t>Odpověď</w:t>
      </w:r>
      <w:r>
        <w:rPr>
          <w:rFonts w:eastAsia="Times New Roman" w:cs="Times New Roman"/>
          <w:bCs/>
          <w:kern w:val="36"/>
          <w:lang w:eastAsia="cs-CZ"/>
        </w:rPr>
        <w:t>:</w:t>
      </w:r>
      <w:r w:rsidR="009D62FB">
        <w:rPr>
          <w:rFonts w:eastAsia="Times New Roman" w:cs="Times New Roman"/>
          <w:bCs/>
          <w:kern w:val="36"/>
          <w:lang w:eastAsia="cs-CZ"/>
        </w:rPr>
        <w:t xml:space="preserve"> V první řadě je potřeba vědět, zda to je spojené osobě (dle §23/7 ZDP) nebo ne. Je-li to spojená osoba, je třeba určit cenu obvyklou.</w:t>
      </w:r>
      <w:r w:rsidR="00950931">
        <w:rPr>
          <w:rFonts w:eastAsia="Times New Roman" w:cs="Times New Roman"/>
          <w:bCs/>
          <w:kern w:val="36"/>
          <w:lang w:eastAsia="cs-CZ"/>
        </w:rPr>
        <w:t xml:space="preserve"> Domnívám se, že za takovou cenu lze považovat tento přístup, kdy se pronajímateli s přiměřeným ziskem vrátí náklady spojené s pořízením auta:</w:t>
      </w:r>
    </w:p>
    <w:p w14:paraId="4A0F4029" w14:textId="78442313" w:rsidR="00950931" w:rsidRDefault="00950931" w:rsidP="001B25B5">
      <w:pPr>
        <w:ind w:firstLine="567"/>
        <w:rPr>
          <w:rFonts w:eastAsia="Times New Roman" w:cs="Times New Roman"/>
          <w:bCs/>
          <w:kern w:val="36"/>
          <w:lang w:eastAsia="cs-CZ"/>
        </w:rPr>
      </w:pPr>
      <w:r>
        <w:rPr>
          <w:rFonts w:eastAsia="Times New Roman" w:cs="Times New Roman"/>
          <w:bCs/>
          <w:kern w:val="36"/>
          <w:lang w:eastAsia="cs-CZ"/>
        </w:rPr>
        <w:t>U nového auta vydělím jeho cenu 60 a to bude výše obvyklého měsíčního nájemného.</w:t>
      </w:r>
    </w:p>
    <w:p w14:paraId="21060DE6" w14:textId="151DF397" w:rsidR="00950931" w:rsidRDefault="00950931" w:rsidP="001B25B5">
      <w:pPr>
        <w:ind w:firstLine="567"/>
        <w:rPr>
          <w:rFonts w:eastAsia="Times New Roman" w:cs="Times New Roman"/>
          <w:bCs/>
          <w:kern w:val="36"/>
          <w:lang w:eastAsia="cs-CZ"/>
        </w:rPr>
      </w:pPr>
      <w:r>
        <w:rPr>
          <w:rFonts w:eastAsia="Times New Roman" w:cs="Times New Roman"/>
          <w:bCs/>
          <w:kern w:val="36"/>
          <w:lang w:eastAsia="cs-CZ"/>
        </w:rPr>
        <w:t>U staršího auta vydělím jeho aktuální tržní cenu (odhadem) 36 a to bude výše nájemného.</w:t>
      </w:r>
    </w:p>
    <w:p w14:paraId="3916B1A9" w14:textId="7EE90D76" w:rsidR="00950931" w:rsidRDefault="00950931" w:rsidP="001B25B5">
      <w:pPr>
        <w:ind w:firstLine="567"/>
        <w:rPr>
          <w:rFonts w:eastAsia="Times New Roman" w:cs="Times New Roman"/>
          <w:bCs/>
          <w:kern w:val="36"/>
          <w:lang w:eastAsia="cs-CZ"/>
        </w:rPr>
      </w:pPr>
      <w:r>
        <w:rPr>
          <w:rFonts w:eastAsia="Times New Roman" w:cs="Times New Roman"/>
          <w:bCs/>
          <w:kern w:val="36"/>
          <w:lang w:eastAsia="cs-CZ"/>
        </w:rPr>
        <w:t>U nespojené osoby se můžete odchýlit od ceny obvyklé, ale nemělo by to „trhat oči“.</w:t>
      </w:r>
    </w:p>
    <w:p w14:paraId="0DD7A545" w14:textId="128CC88E" w:rsidR="001B25B5" w:rsidRDefault="001B25B5" w:rsidP="001B25B5">
      <w:pPr>
        <w:ind w:firstLine="567"/>
        <w:rPr>
          <w:rFonts w:eastAsia="Times New Roman" w:cs="Times New Roman"/>
          <w:bCs/>
          <w:kern w:val="36"/>
          <w:lang w:eastAsia="cs-CZ"/>
        </w:rPr>
      </w:pPr>
      <w:r w:rsidRPr="000325BD">
        <w:rPr>
          <w:rFonts w:eastAsia="Times New Roman" w:cs="Times New Roman"/>
          <w:b/>
          <w:kern w:val="36"/>
          <w:lang w:eastAsia="cs-CZ"/>
        </w:rPr>
        <w:t>Otázka</w:t>
      </w:r>
      <w:r>
        <w:rPr>
          <w:rFonts w:eastAsia="Times New Roman" w:cs="Times New Roman"/>
          <w:bCs/>
          <w:kern w:val="36"/>
          <w:lang w:eastAsia="cs-CZ"/>
        </w:rPr>
        <w:t>:</w:t>
      </w:r>
      <w:r w:rsidR="00C81558">
        <w:rPr>
          <w:rFonts w:eastAsia="Times New Roman" w:cs="Times New Roman"/>
          <w:bCs/>
          <w:kern w:val="36"/>
          <w:lang w:eastAsia="cs-CZ"/>
        </w:rPr>
        <w:t xml:space="preserve"> </w:t>
      </w:r>
      <w:r w:rsidR="00950931">
        <w:rPr>
          <w:rFonts w:eastAsia="Times New Roman" w:cs="Times New Roman"/>
          <w:bCs/>
          <w:kern w:val="36"/>
          <w:lang w:eastAsia="cs-CZ"/>
        </w:rPr>
        <w:t xml:space="preserve">Řeším přestup mezi měsíčním a Q zdaňovacím obdobím DPH, kde je limitní obrat 10 mil Kč. </w:t>
      </w:r>
      <w:r w:rsidR="00C81558">
        <w:rPr>
          <w:rFonts w:eastAsia="Times New Roman" w:cs="Times New Roman"/>
          <w:bCs/>
          <w:kern w:val="36"/>
          <w:lang w:eastAsia="cs-CZ"/>
        </w:rPr>
        <w:t xml:space="preserve">Mohu stanovit </w:t>
      </w:r>
      <w:r w:rsidR="00950931">
        <w:rPr>
          <w:rFonts w:eastAsia="Times New Roman" w:cs="Times New Roman"/>
          <w:bCs/>
          <w:kern w:val="36"/>
          <w:lang w:eastAsia="cs-CZ"/>
        </w:rPr>
        <w:t xml:space="preserve">tento </w:t>
      </w:r>
      <w:r w:rsidR="00C81558">
        <w:rPr>
          <w:rFonts w:eastAsia="Times New Roman" w:cs="Times New Roman"/>
          <w:bCs/>
          <w:kern w:val="36"/>
          <w:lang w:eastAsia="cs-CZ"/>
        </w:rPr>
        <w:t>obrat součtem plnění na výstupu z jednotlivých DAP</w:t>
      </w:r>
      <w:r w:rsidR="00C053FD">
        <w:rPr>
          <w:rFonts w:eastAsia="Times New Roman" w:cs="Times New Roman"/>
          <w:bCs/>
          <w:kern w:val="36"/>
          <w:lang w:eastAsia="cs-CZ"/>
        </w:rPr>
        <w:t xml:space="preserve"> za rok</w:t>
      </w:r>
      <w:r w:rsidR="00C81558">
        <w:rPr>
          <w:rFonts w:eastAsia="Times New Roman" w:cs="Times New Roman"/>
          <w:bCs/>
          <w:kern w:val="36"/>
          <w:lang w:eastAsia="cs-CZ"/>
        </w:rPr>
        <w:t>?</w:t>
      </w:r>
    </w:p>
    <w:p w14:paraId="24EC0942" w14:textId="3F808F1E" w:rsidR="001B25B5" w:rsidRDefault="001B25B5" w:rsidP="001B25B5">
      <w:pPr>
        <w:ind w:firstLine="567"/>
        <w:rPr>
          <w:rFonts w:eastAsia="Times New Roman" w:cs="Times New Roman"/>
          <w:bCs/>
          <w:kern w:val="36"/>
          <w:lang w:eastAsia="cs-CZ"/>
        </w:rPr>
      </w:pPr>
      <w:r w:rsidRPr="000325BD">
        <w:rPr>
          <w:rFonts w:eastAsia="Times New Roman" w:cs="Times New Roman"/>
          <w:b/>
          <w:kern w:val="36"/>
          <w:lang w:eastAsia="cs-CZ"/>
        </w:rPr>
        <w:t>Odpověď</w:t>
      </w:r>
      <w:r>
        <w:rPr>
          <w:rFonts w:eastAsia="Times New Roman" w:cs="Times New Roman"/>
          <w:bCs/>
          <w:kern w:val="36"/>
          <w:lang w:eastAsia="cs-CZ"/>
        </w:rPr>
        <w:t>:</w:t>
      </w:r>
      <w:r w:rsidR="00950931">
        <w:rPr>
          <w:rFonts w:eastAsia="Times New Roman" w:cs="Times New Roman"/>
          <w:bCs/>
          <w:kern w:val="36"/>
          <w:lang w:eastAsia="cs-CZ"/>
        </w:rPr>
        <w:t xml:space="preserve"> To můžete udělat jen pro odhad, není to přesné. V DAP se vám totiž objevují i plnění, která se dle §4a ZDPH do obratu nepočítají. Ze zdanitelných plnění </w:t>
      </w:r>
      <w:r w:rsidR="000325BD">
        <w:rPr>
          <w:rFonts w:eastAsia="Times New Roman" w:cs="Times New Roman"/>
          <w:bCs/>
          <w:kern w:val="36"/>
          <w:lang w:eastAsia="cs-CZ"/>
        </w:rPr>
        <w:t xml:space="preserve">na ř. 1 </w:t>
      </w:r>
      <w:r w:rsidR="00950931">
        <w:rPr>
          <w:rFonts w:eastAsia="Times New Roman" w:cs="Times New Roman"/>
          <w:bCs/>
          <w:kern w:val="36"/>
          <w:lang w:eastAsia="cs-CZ"/>
        </w:rPr>
        <w:t>to je prodej dlouhodobého majetku. Rovněž z osvobozených plnění na ř. 50 se do obratu počítají jenom některá.</w:t>
      </w:r>
      <w:r w:rsidR="00C850E9">
        <w:rPr>
          <w:rFonts w:eastAsia="Times New Roman" w:cs="Times New Roman"/>
          <w:bCs/>
          <w:kern w:val="36"/>
          <w:lang w:eastAsia="cs-CZ"/>
        </w:rPr>
        <w:t xml:space="preserve"> Do obratu se navíc počítají jenom plnění s místem plnění v ČR, ale v DAP m</w:t>
      </w:r>
      <w:r w:rsidR="0028599A">
        <w:rPr>
          <w:rFonts w:eastAsia="Times New Roman" w:cs="Times New Roman"/>
          <w:bCs/>
          <w:kern w:val="36"/>
          <w:lang w:eastAsia="cs-CZ"/>
        </w:rPr>
        <w:t>ůžet</w:t>
      </w:r>
      <w:r w:rsidR="00C850E9">
        <w:rPr>
          <w:rFonts w:eastAsia="Times New Roman" w:cs="Times New Roman"/>
          <w:bCs/>
          <w:kern w:val="36"/>
          <w:lang w:eastAsia="cs-CZ"/>
        </w:rPr>
        <w:t>e</w:t>
      </w:r>
      <w:r w:rsidR="0028599A">
        <w:rPr>
          <w:rFonts w:eastAsia="Times New Roman" w:cs="Times New Roman"/>
          <w:bCs/>
          <w:kern w:val="36"/>
          <w:lang w:eastAsia="cs-CZ"/>
        </w:rPr>
        <w:t xml:space="preserve"> mít</w:t>
      </w:r>
      <w:r w:rsidR="00C850E9">
        <w:rPr>
          <w:rFonts w:eastAsia="Times New Roman" w:cs="Times New Roman"/>
          <w:bCs/>
          <w:kern w:val="36"/>
          <w:lang w:eastAsia="cs-CZ"/>
        </w:rPr>
        <w:t xml:space="preserve"> i jiná plnění.</w:t>
      </w:r>
    </w:p>
    <w:p w14:paraId="0E2BDD81" w14:textId="13DDC072" w:rsidR="001B25B5" w:rsidRDefault="001B25B5" w:rsidP="001B25B5">
      <w:pPr>
        <w:ind w:firstLine="567"/>
        <w:rPr>
          <w:rFonts w:eastAsia="Times New Roman" w:cs="Times New Roman"/>
          <w:bCs/>
          <w:kern w:val="36"/>
          <w:lang w:eastAsia="cs-CZ"/>
        </w:rPr>
      </w:pPr>
      <w:r w:rsidRPr="000325BD">
        <w:rPr>
          <w:rFonts w:eastAsia="Times New Roman" w:cs="Times New Roman"/>
          <w:b/>
          <w:kern w:val="36"/>
          <w:lang w:eastAsia="cs-CZ"/>
        </w:rPr>
        <w:t>Otázka</w:t>
      </w:r>
      <w:r>
        <w:rPr>
          <w:rFonts w:eastAsia="Times New Roman" w:cs="Times New Roman"/>
          <w:bCs/>
          <w:kern w:val="36"/>
          <w:lang w:eastAsia="cs-CZ"/>
        </w:rPr>
        <w:t>:</w:t>
      </w:r>
      <w:r w:rsidR="00C81558">
        <w:rPr>
          <w:rFonts w:eastAsia="Times New Roman" w:cs="Times New Roman"/>
          <w:bCs/>
          <w:kern w:val="36"/>
          <w:lang w:eastAsia="cs-CZ"/>
        </w:rPr>
        <w:t xml:space="preserve"> </w:t>
      </w:r>
      <w:r w:rsidR="000325BD">
        <w:rPr>
          <w:rFonts w:eastAsia="Times New Roman" w:cs="Times New Roman"/>
          <w:bCs/>
          <w:kern w:val="36"/>
          <w:lang w:eastAsia="cs-CZ"/>
        </w:rPr>
        <w:t>Dopravce nám při přepravě poškodil naše zboží. Budeme mu fakturovat způsobenou škodu. Bude faktura s daní nebo bez daně?</w:t>
      </w:r>
    </w:p>
    <w:p w14:paraId="43DD5E01" w14:textId="0969E51F" w:rsidR="001B25B5" w:rsidRDefault="001B25B5" w:rsidP="001B25B5">
      <w:pPr>
        <w:ind w:firstLine="567"/>
        <w:rPr>
          <w:rFonts w:eastAsia="Times New Roman" w:cs="Times New Roman"/>
          <w:bCs/>
          <w:kern w:val="36"/>
          <w:lang w:eastAsia="cs-CZ"/>
        </w:rPr>
      </w:pPr>
      <w:r w:rsidRPr="000325BD">
        <w:rPr>
          <w:rFonts w:eastAsia="Times New Roman" w:cs="Times New Roman"/>
          <w:b/>
          <w:kern w:val="36"/>
          <w:lang w:eastAsia="cs-CZ"/>
        </w:rPr>
        <w:t>Odpověď</w:t>
      </w:r>
      <w:r>
        <w:rPr>
          <w:rFonts w:eastAsia="Times New Roman" w:cs="Times New Roman"/>
          <w:bCs/>
          <w:kern w:val="36"/>
          <w:lang w:eastAsia="cs-CZ"/>
        </w:rPr>
        <w:t>:</w:t>
      </w:r>
      <w:r w:rsidR="000325BD">
        <w:rPr>
          <w:rFonts w:eastAsia="Times New Roman" w:cs="Times New Roman"/>
          <w:bCs/>
          <w:kern w:val="36"/>
          <w:lang w:eastAsia="cs-CZ"/>
        </w:rPr>
        <w:t xml:space="preserve"> Ve vašem případě to bude bez DPH, protože vy jste dopravci neposkytovali žádné plnění. Ne vždy to ale je takto jednoduché. Někdy se vzniklé situace také označují za „škodu“, byť ekonomická podstata je jiná a jiný bude i přístup u DPH. </w:t>
      </w:r>
      <w:r w:rsidR="00774CEA">
        <w:rPr>
          <w:rFonts w:eastAsia="Times New Roman" w:cs="Times New Roman"/>
          <w:bCs/>
          <w:kern w:val="36"/>
          <w:lang w:eastAsia="cs-CZ"/>
        </w:rPr>
        <w:t>U spornějších situací d</w:t>
      </w:r>
      <w:r w:rsidR="000325BD">
        <w:rPr>
          <w:rFonts w:eastAsia="Times New Roman" w:cs="Times New Roman"/>
          <w:bCs/>
          <w:kern w:val="36"/>
          <w:lang w:eastAsia="cs-CZ"/>
        </w:rPr>
        <w:t>oporučuji pročt</w:t>
      </w:r>
      <w:r w:rsidR="00774CEA">
        <w:rPr>
          <w:rFonts w:eastAsia="Times New Roman" w:cs="Times New Roman"/>
          <w:bCs/>
          <w:kern w:val="36"/>
          <w:lang w:eastAsia="cs-CZ"/>
        </w:rPr>
        <w:t>ení</w:t>
      </w:r>
      <w:r w:rsidR="000325BD">
        <w:rPr>
          <w:rFonts w:eastAsia="Times New Roman" w:cs="Times New Roman"/>
          <w:bCs/>
          <w:kern w:val="36"/>
          <w:lang w:eastAsia="cs-CZ"/>
        </w:rPr>
        <w:t xml:space="preserve"> závěr</w:t>
      </w:r>
      <w:r w:rsidR="00774CEA">
        <w:rPr>
          <w:rFonts w:eastAsia="Times New Roman" w:cs="Times New Roman"/>
          <w:bCs/>
          <w:kern w:val="36"/>
          <w:lang w:eastAsia="cs-CZ"/>
        </w:rPr>
        <w:t>ů</w:t>
      </w:r>
      <w:r w:rsidR="000325BD">
        <w:rPr>
          <w:rFonts w:eastAsia="Times New Roman" w:cs="Times New Roman"/>
          <w:bCs/>
          <w:kern w:val="36"/>
          <w:lang w:eastAsia="cs-CZ"/>
        </w:rPr>
        <w:t xml:space="preserve"> koordinačního výboru č. 349/14.12.2011</w:t>
      </w:r>
      <w:r w:rsidR="00774CEA">
        <w:rPr>
          <w:rFonts w:eastAsia="Times New Roman" w:cs="Times New Roman"/>
          <w:bCs/>
          <w:kern w:val="36"/>
          <w:lang w:eastAsia="cs-CZ"/>
        </w:rPr>
        <w:t xml:space="preserve"> od paní Olgy Holubové.</w:t>
      </w:r>
    </w:p>
    <w:p w14:paraId="2D330864" w14:textId="12EC33A1" w:rsidR="00071F31" w:rsidRDefault="001D3ACC" w:rsidP="007B539F">
      <w:pPr>
        <w:ind w:firstLine="567"/>
      </w:pPr>
      <w:r>
        <w:tab/>
      </w:r>
      <w:r>
        <w:tab/>
      </w:r>
      <w:r>
        <w:tab/>
      </w:r>
      <w:r>
        <w:tab/>
      </w:r>
      <w:r>
        <w:tab/>
      </w:r>
      <w:r>
        <w:tab/>
      </w:r>
      <w:r>
        <w:tab/>
        <w:t>Ing. Václav Dvořák MBA</w:t>
      </w:r>
    </w:p>
    <w:sectPr w:rsidR="00071F31" w:rsidSect="00192B56">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164D"/>
    <w:multiLevelType w:val="hybridMultilevel"/>
    <w:tmpl w:val="7E422F48"/>
    <w:lvl w:ilvl="0" w:tplc="04050009">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24F86474"/>
    <w:multiLevelType w:val="hybridMultilevel"/>
    <w:tmpl w:val="347E26E2"/>
    <w:lvl w:ilvl="0" w:tplc="D9FC2E14">
      <w:numFmt w:val="bullet"/>
      <w:lvlText w:val="-"/>
      <w:lvlJc w:val="left"/>
      <w:pPr>
        <w:ind w:left="927" w:hanging="360"/>
      </w:pPr>
      <w:rPr>
        <w:rFonts w:ascii="Calibri" w:eastAsiaTheme="minorHAnsi"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420E5A44"/>
    <w:multiLevelType w:val="hybridMultilevel"/>
    <w:tmpl w:val="32B6C652"/>
    <w:lvl w:ilvl="0" w:tplc="BF42DDBE">
      <w:start w:val="1"/>
      <w:numFmt w:val="bullet"/>
      <w:lvlText w:val="-"/>
      <w:lvlJc w:val="left"/>
      <w:pPr>
        <w:ind w:left="1854" w:hanging="360"/>
      </w:pPr>
      <w:rPr>
        <w:rFonts w:ascii="Times New Roman" w:eastAsia="Times New Roman" w:hAnsi="Times New Roman" w:cs="Times New Roman"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num w:numId="1" w16cid:durableId="2094424653">
    <w:abstractNumId w:val="1"/>
  </w:num>
  <w:num w:numId="2" w16cid:durableId="113135499">
    <w:abstractNumId w:val="0"/>
  </w:num>
  <w:num w:numId="3" w16cid:durableId="939526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C8"/>
    <w:rsid w:val="000325BD"/>
    <w:rsid w:val="00071F31"/>
    <w:rsid w:val="000806A1"/>
    <w:rsid w:val="000F3977"/>
    <w:rsid w:val="0011505D"/>
    <w:rsid w:val="00186DC8"/>
    <w:rsid w:val="00192B56"/>
    <w:rsid w:val="001B25B5"/>
    <w:rsid w:val="001C2693"/>
    <w:rsid w:val="001D3ACC"/>
    <w:rsid w:val="00232C72"/>
    <w:rsid w:val="00275F7A"/>
    <w:rsid w:val="0028599A"/>
    <w:rsid w:val="002C513D"/>
    <w:rsid w:val="002F0EC8"/>
    <w:rsid w:val="00337560"/>
    <w:rsid w:val="00381D25"/>
    <w:rsid w:val="003D47E1"/>
    <w:rsid w:val="00433859"/>
    <w:rsid w:val="00496BB4"/>
    <w:rsid w:val="004C45F5"/>
    <w:rsid w:val="00504296"/>
    <w:rsid w:val="005104F6"/>
    <w:rsid w:val="00525B78"/>
    <w:rsid w:val="00550778"/>
    <w:rsid w:val="006206C6"/>
    <w:rsid w:val="006441AB"/>
    <w:rsid w:val="006C67E0"/>
    <w:rsid w:val="006C7BB8"/>
    <w:rsid w:val="00774CEA"/>
    <w:rsid w:val="007B539F"/>
    <w:rsid w:val="007F756C"/>
    <w:rsid w:val="00801D19"/>
    <w:rsid w:val="008714CB"/>
    <w:rsid w:val="008B0E5E"/>
    <w:rsid w:val="008B58A7"/>
    <w:rsid w:val="00950931"/>
    <w:rsid w:val="00995D5A"/>
    <w:rsid w:val="009C5530"/>
    <w:rsid w:val="009D62FB"/>
    <w:rsid w:val="00A01011"/>
    <w:rsid w:val="00AA3EF8"/>
    <w:rsid w:val="00AA484C"/>
    <w:rsid w:val="00AB3BED"/>
    <w:rsid w:val="00B969DB"/>
    <w:rsid w:val="00BC19D1"/>
    <w:rsid w:val="00BF6C39"/>
    <w:rsid w:val="00C053FD"/>
    <w:rsid w:val="00C05FD8"/>
    <w:rsid w:val="00C735C8"/>
    <w:rsid w:val="00C81558"/>
    <w:rsid w:val="00C850E9"/>
    <w:rsid w:val="00D31C21"/>
    <w:rsid w:val="00D52EEA"/>
    <w:rsid w:val="00D84417"/>
    <w:rsid w:val="00D931C8"/>
    <w:rsid w:val="00DC2EBE"/>
    <w:rsid w:val="00E116A9"/>
    <w:rsid w:val="00E86B3C"/>
    <w:rsid w:val="00E92071"/>
    <w:rsid w:val="00ED4C02"/>
    <w:rsid w:val="00F15CD1"/>
    <w:rsid w:val="00F35655"/>
    <w:rsid w:val="00F52492"/>
    <w:rsid w:val="00F97F85"/>
    <w:rsid w:val="00FE43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7C157"/>
  <w15:chartTrackingRefBased/>
  <w15:docId w15:val="{B4FF1CE3-2E16-479D-80C1-94B5B035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735C8"/>
    <w:pPr>
      <w:ind w:left="720"/>
      <w:contextualSpacing/>
    </w:pPr>
  </w:style>
  <w:style w:type="character" w:styleId="Hypertextovodkaz">
    <w:name w:val="Hyperlink"/>
    <w:basedOn w:val="Standardnpsmoodstavce"/>
    <w:uiPriority w:val="99"/>
    <w:unhideWhenUsed/>
    <w:rsid w:val="00AA3EF8"/>
    <w:rPr>
      <w:color w:val="0563C1" w:themeColor="hyperlink"/>
      <w:u w:val="single"/>
    </w:rPr>
  </w:style>
  <w:style w:type="character" w:styleId="Nevyeenzmnka">
    <w:name w:val="Unresolved Mention"/>
    <w:basedOn w:val="Standardnpsmoodstavce"/>
    <w:uiPriority w:val="99"/>
    <w:semiHidden/>
    <w:unhideWhenUsed/>
    <w:rsid w:val="00AA3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444</Words>
  <Characters>2626</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Dvořák</dc:creator>
  <cp:keywords/>
  <dc:description/>
  <cp:lastModifiedBy>Václav Dvořák</cp:lastModifiedBy>
  <cp:revision>13</cp:revision>
  <dcterms:created xsi:type="dcterms:W3CDTF">2023-02-21T15:43:00Z</dcterms:created>
  <dcterms:modified xsi:type="dcterms:W3CDTF">2023-02-26T08:05:00Z</dcterms:modified>
</cp:coreProperties>
</file>